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BC" w:rsidRPr="000327A0" w:rsidRDefault="00F91CBC" w:rsidP="00F91CBC">
      <w:pPr>
        <w:pStyle w:val="a5"/>
        <w:rPr>
          <w:rFonts w:asciiTheme="minorHAnsi" w:eastAsia="標楷體" w:hAnsiTheme="minorHAnsi" w:cstheme="minorHAnsi"/>
          <w:b/>
          <w:color w:val="548DD4"/>
          <w:sz w:val="24"/>
          <w:szCs w:val="24"/>
        </w:rPr>
      </w:pPr>
      <w:bookmarkStart w:id="0" w:name="_GoBack"/>
      <w:bookmarkEnd w:id="0"/>
      <w:r>
        <w:rPr>
          <w:rFonts w:asciiTheme="minorHAnsi" w:eastAsia="標楷體" w:hAnsiTheme="minorHAnsi" w:cstheme="minorHAnsi" w:hint="eastAsia"/>
          <w:b/>
          <w:sz w:val="24"/>
          <w:szCs w:val="24"/>
        </w:rPr>
        <w:t>105</w:t>
      </w:r>
      <w:r>
        <w:rPr>
          <w:rFonts w:asciiTheme="minorHAnsi" w:eastAsia="標楷體" w:hAnsiTheme="minorHAnsi" w:cstheme="minorHAnsi" w:hint="eastAsia"/>
          <w:b/>
          <w:sz w:val="24"/>
          <w:szCs w:val="24"/>
        </w:rPr>
        <w:t>年化學物質登錄制度與管理國際研討會報名方式及議程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260"/>
        <w:gridCol w:w="5068"/>
      </w:tblGrid>
      <w:tr w:rsidR="00F91CBC" w:rsidRPr="00346383" w:rsidTr="003601C0">
        <w:trPr>
          <w:trHeight w:val="405"/>
          <w:jc w:val="center"/>
        </w:trPr>
        <w:tc>
          <w:tcPr>
            <w:tcW w:w="1418" w:type="dxa"/>
            <w:shd w:val="clear" w:color="auto" w:fill="B8CCE4"/>
            <w:vAlign w:val="center"/>
          </w:tcPr>
          <w:p w:rsidR="00F91CBC" w:rsidRPr="002528ED" w:rsidRDefault="00F91CBC" w:rsidP="003601C0">
            <w:pPr>
              <w:pStyle w:val="a3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會議名稱</w:t>
            </w:r>
          </w:p>
        </w:tc>
        <w:tc>
          <w:tcPr>
            <w:tcW w:w="8328" w:type="dxa"/>
            <w:gridSpan w:val="2"/>
            <w:shd w:val="clear" w:color="auto" w:fill="B8CCE4"/>
            <w:vAlign w:val="center"/>
          </w:tcPr>
          <w:p w:rsidR="00F91CBC" w:rsidRPr="002528ED" w:rsidRDefault="00F91CBC" w:rsidP="003601C0">
            <w:pPr>
              <w:pStyle w:val="a3"/>
              <w:spacing w:line="240" w:lineRule="auto"/>
              <w:ind w:left="0" w:firstLine="0"/>
              <w:jc w:val="left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化學物質登錄制度與管理國際研討會</w:t>
            </w:r>
          </w:p>
        </w:tc>
      </w:tr>
      <w:tr w:rsidR="00F91CBC" w:rsidRPr="00346383" w:rsidTr="003601C0">
        <w:trPr>
          <w:trHeight w:val="172"/>
          <w:jc w:val="center"/>
        </w:trPr>
        <w:tc>
          <w:tcPr>
            <w:tcW w:w="1418" w:type="dxa"/>
            <w:vAlign w:val="center"/>
          </w:tcPr>
          <w:p w:rsidR="00F91CBC" w:rsidRPr="002528ED" w:rsidRDefault="00F91CBC" w:rsidP="003601C0">
            <w:pPr>
              <w:pStyle w:val="a3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主辦單位</w:t>
            </w:r>
          </w:p>
        </w:tc>
        <w:tc>
          <w:tcPr>
            <w:tcW w:w="8328" w:type="dxa"/>
            <w:gridSpan w:val="2"/>
            <w:vAlign w:val="center"/>
          </w:tcPr>
          <w:p w:rsidR="00F91CBC" w:rsidRPr="002528ED" w:rsidRDefault="00F91CBC" w:rsidP="003601C0">
            <w:pPr>
              <w:pStyle w:val="a3"/>
              <w:spacing w:line="240" w:lineRule="auto"/>
              <w:ind w:left="0" w:firstLine="0"/>
              <w:jc w:val="left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行政院環境保護署</w:t>
            </w:r>
          </w:p>
        </w:tc>
      </w:tr>
      <w:tr w:rsidR="00F91CBC" w:rsidRPr="00346383" w:rsidTr="003601C0">
        <w:trPr>
          <w:jc w:val="center"/>
        </w:trPr>
        <w:tc>
          <w:tcPr>
            <w:tcW w:w="1418" w:type="dxa"/>
            <w:vAlign w:val="center"/>
          </w:tcPr>
          <w:p w:rsidR="00F91CBC" w:rsidRPr="002528ED" w:rsidRDefault="00F91CBC" w:rsidP="003601C0">
            <w:pPr>
              <w:pStyle w:val="a3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執行單位</w:t>
            </w:r>
          </w:p>
        </w:tc>
        <w:tc>
          <w:tcPr>
            <w:tcW w:w="8328" w:type="dxa"/>
            <w:gridSpan w:val="2"/>
            <w:vAlign w:val="center"/>
          </w:tcPr>
          <w:p w:rsidR="00F91CBC" w:rsidRPr="002528ED" w:rsidRDefault="00F91CBC" w:rsidP="003601C0">
            <w:pPr>
              <w:pStyle w:val="a3"/>
              <w:spacing w:line="240" w:lineRule="auto"/>
              <w:ind w:left="0" w:firstLine="0"/>
              <w:jc w:val="left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財團法人安全衛生技術中心</w:t>
            </w:r>
          </w:p>
        </w:tc>
      </w:tr>
      <w:tr w:rsidR="00F91CBC" w:rsidRPr="00346383" w:rsidTr="003601C0">
        <w:trPr>
          <w:jc w:val="center"/>
        </w:trPr>
        <w:tc>
          <w:tcPr>
            <w:tcW w:w="1418" w:type="dxa"/>
            <w:vAlign w:val="center"/>
          </w:tcPr>
          <w:p w:rsidR="00F91CBC" w:rsidRPr="002528ED" w:rsidRDefault="00F91CBC" w:rsidP="003601C0">
            <w:pPr>
              <w:pStyle w:val="a3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目的</w:t>
            </w:r>
          </w:p>
        </w:tc>
        <w:tc>
          <w:tcPr>
            <w:tcW w:w="8328" w:type="dxa"/>
            <w:gridSpan w:val="2"/>
            <w:vAlign w:val="center"/>
          </w:tcPr>
          <w:p w:rsidR="00F91CBC" w:rsidRPr="00061842" w:rsidRDefault="00F91CBC" w:rsidP="00F91CBC">
            <w:pPr>
              <w:pStyle w:val="11"/>
              <w:spacing w:line="240" w:lineRule="auto"/>
              <w:ind w:left="0" w:firstLineChars="202" w:firstLine="525"/>
              <w:rPr>
                <w:sz w:val="24"/>
                <w:szCs w:val="24"/>
              </w:rPr>
            </w:pPr>
            <w:r w:rsidRPr="00061842">
              <w:rPr>
                <w:rFonts w:hint="eastAsia"/>
                <w:sz w:val="24"/>
                <w:szCs w:val="24"/>
              </w:rPr>
              <w:t>國際間化學品政策的革新與提升管理、完善國家化學物質源頭登錄管理基礎建設，已成為近年來各國化學品主管機關發展提升的重點工作，同時在發展洽簽雙邊與區域自由經貿協議，以及企業廠商在因應國際貿易活動中，法規制度健全更是不容忽視的課題。</w:t>
            </w:r>
          </w:p>
          <w:p w:rsidR="00F91CBC" w:rsidRPr="00061842" w:rsidRDefault="00F91CBC" w:rsidP="00F91CBC">
            <w:pPr>
              <w:pStyle w:val="11"/>
              <w:spacing w:line="240" w:lineRule="auto"/>
              <w:ind w:left="0" w:firstLineChars="202" w:firstLine="525"/>
              <w:rPr>
                <w:sz w:val="24"/>
                <w:szCs w:val="24"/>
              </w:rPr>
            </w:pPr>
            <w:r w:rsidRPr="00061842">
              <w:rPr>
                <w:rFonts w:hint="eastAsia"/>
                <w:sz w:val="24"/>
                <w:szCs w:val="24"/>
              </w:rPr>
              <w:t>自</w:t>
            </w:r>
            <w:r w:rsidRPr="00061842">
              <w:rPr>
                <w:sz w:val="24"/>
                <w:szCs w:val="24"/>
              </w:rPr>
              <w:t>104</w:t>
            </w:r>
            <w:r w:rsidRPr="00061842">
              <w:rPr>
                <w:rFonts w:hint="eastAsia"/>
                <w:sz w:val="24"/>
                <w:szCs w:val="24"/>
              </w:rPr>
              <w:t>年</w:t>
            </w:r>
            <w:r w:rsidRPr="00061842">
              <w:rPr>
                <w:sz w:val="24"/>
                <w:szCs w:val="24"/>
              </w:rPr>
              <w:t>12</w:t>
            </w:r>
            <w:r w:rsidRPr="00061842">
              <w:rPr>
                <w:rFonts w:hint="eastAsia"/>
                <w:sz w:val="24"/>
                <w:szCs w:val="24"/>
              </w:rPr>
              <w:t>月</w:t>
            </w:r>
            <w:r w:rsidRPr="00061842">
              <w:rPr>
                <w:sz w:val="24"/>
                <w:szCs w:val="24"/>
              </w:rPr>
              <w:t>11</w:t>
            </w:r>
            <w:r w:rsidRPr="00061842">
              <w:rPr>
                <w:rFonts w:hint="eastAsia"/>
                <w:sz w:val="24"/>
                <w:szCs w:val="24"/>
              </w:rPr>
              <w:t>日起行政院環保署啟動源頭登錄制度，逐步落實化學品管理、推動達成</w:t>
            </w:r>
            <w:r w:rsidRPr="00061842">
              <w:rPr>
                <w:sz w:val="24"/>
                <w:szCs w:val="24"/>
              </w:rPr>
              <w:t>2020</w:t>
            </w:r>
            <w:r w:rsidRPr="00061842">
              <w:rPr>
                <w:rFonts w:hint="eastAsia"/>
                <w:sz w:val="24"/>
                <w:szCs w:val="24"/>
              </w:rPr>
              <w:t>年聯合國</w:t>
            </w:r>
            <w:r w:rsidRPr="00061842">
              <w:rPr>
                <w:sz w:val="24"/>
                <w:szCs w:val="24"/>
              </w:rPr>
              <w:t>SAICM</w:t>
            </w:r>
            <w:r w:rsidRPr="00061842">
              <w:rPr>
                <w:rFonts w:hint="eastAsia"/>
                <w:sz w:val="24"/>
                <w:szCs w:val="24"/>
              </w:rPr>
              <w:t>目標，行政院環保署為加強國際雙向交流，特邀請</w:t>
            </w:r>
            <w:r>
              <w:rPr>
                <w:rFonts w:hint="eastAsia"/>
                <w:sz w:val="24"/>
                <w:szCs w:val="24"/>
              </w:rPr>
              <w:t>美國、</w:t>
            </w:r>
            <w:r w:rsidRPr="00061842">
              <w:rPr>
                <w:rFonts w:hint="eastAsia"/>
                <w:sz w:val="24"/>
                <w:szCs w:val="24"/>
              </w:rPr>
              <w:t>韓國</w:t>
            </w:r>
            <w:r>
              <w:rPr>
                <w:rFonts w:hint="eastAsia"/>
                <w:sz w:val="24"/>
                <w:szCs w:val="24"/>
              </w:rPr>
              <w:t>與菲律賓等國</w:t>
            </w:r>
            <w:r w:rsidRPr="00061842">
              <w:rPr>
                <w:rFonts w:hint="eastAsia"/>
                <w:sz w:val="24"/>
                <w:szCs w:val="24"/>
              </w:rPr>
              <w:t>官員</w:t>
            </w:r>
            <w:r>
              <w:rPr>
                <w:rFonts w:hint="eastAsia"/>
                <w:sz w:val="24"/>
                <w:szCs w:val="24"/>
              </w:rPr>
              <w:t>專家</w:t>
            </w:r>
            <w:r w:rsidRPr="00061842">
              <w:rPr>
                <w:rFonts w:hint="eastAsia"/>
                <w:sz w:val="24"/>
                <w:szCs w:val="24"/>
              </w:rPr>
              <w:t>來台分享各國化學品的管理制度現況與未來規劃，討論各國管理上共同的考量與面臨的挑戰，希望能夠借鏡國際的發展經驗，</w:t>
            </w:r>
            <w:proofErr w:type="gramStart"/>
            <w:r w:rsidRPr="00061842">
              <w:rPr>
                <w:rFonts w:hint="eastAsia"/>
                <w:sz w:val="24"/>
                <w:szCs w:val="24"/>
              </w:rPr>
              <w:t>俾</w:t>
            </w:r>
            <w:proofErr w:type="gramEnd"/>
            <w:r w:rsidRPr="00061842">
              <w:rPr>
                <w:rFonts w:hint="eastAsia"/>
                <w:sz w:val="24"/>
                <w:szCs w:val="24"/>
              </w:rPr>
              <w:t>使我國的化學品法規</w:t>
            </w:r>
            <w:proofErr w:type="gramStart"/>
            <w:r w:rsidRPr="00061842">
              <w:rPr>
                <w:rFonts w:hint="eastAsia"/>
                <w:sz w:val="24"/>
                <w:szCs w:val="24"/>
              </w:rPr>
              <w:t>研</w:t>
            </w:r>
            <w:proofErr w:type="gramEnd"/>
            <w:r w:rsidRPr="00061842">
              <w:rPr>
                <w:rFonts w:hint="eastAsia"/>
                <w:sz w:val="24"/>
                <w:szCs w:val="24"/>
              </w:rPr>
              <w:t>擬更趨周延與完善。</w:t>
            </w:r>
          </w:p>
        </w:tc>
      </w:tr>
      <w:tr w:rsidR="00F91CBC" w:rsidRPr="00346383" w:rsidTr="003601C0">
        <w:trPr>
          <w:jc w:val="center"/>
        </w:trPr>
        <w:tc>
          <w:tcPr>
            <w:tcW w:w="1418" w:type="dxa"/>
            <w:vAlign w:val="center"/>
          </w:tcPr>
          <w:p w:rsidR="00F91CBC" w:rsidRPr="002528ED" w:rsidRDefault="00F91CBC" w:rsidP="003601C0">
            <w:pPr>
              <w:pStyle w:val="a3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參加對象</w:t>
            </w:r>
          </w:p>
        </w:tc>
        <w:tc>
          <w:tcPr>
            <w:tcW w:w="8328" w:type="dxa"/>
            <w:gridSpan w:val="2"/>
            <w:vAlign w:val="center"/>
          </w:tcPr>
          <w:p w:rsidR="00F91CBC" w:rsidRPr="002528ED" w:rsidRDefault="00F91CBC" w:rsidP="003601C0">
            <w:pPr>
              <w:pStyle w:val="a3"/>
              <w:spacing w:line="240" w:lineRule="auto"/>
              <w:ind w:left="0" w:firstLine="0"/>
              <w:jc w:val="left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開放各界自由報名參加，共計約</w:t>
            </w:r>
            <w:r w:rsidRPr="002528ED">
              <w:rPr>
                <w:rFonts w:eastAsia="標楷體"/>
                <w:color w:val="auto"/>
                <w:sz w:val="24"/>
                <w:szCs w:val="24"/>
                <w:u w:val="none"/>
              </w:rPr>
              <w:t>120</w:t>
            </w: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人報名額滿為止</w:t>
            </w:r>
          </w:p>
        </w:tc>
      </w:tr>
      <w:tr w:rsidR="00F91CBC" w:rsidRPr="00346383" w:rsidTr="003601C0">
        <w:trPr>
          <w:jc w:val="center"/>
        </w:trPr>
        <w:tc>
          <w:tcPr>
            <w:tcW w:w="1418" w:type="dxa"/>
            <w:vAlign w:val="center"/>
          </w:tcPr>
          <w:p w:rsidR="00F91CBC" w:rsidRPr="002528ED" w:rsidRDefault="00F91CBC" w:rsidP="003601C0">
            <w:pPr>
              <w:pStyle w:val="a3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時間</w:t>
            </w:r>
          </w:p>
        </w:tc>
        <w:tc>
          <w:tcPr>
            <w:tcW w:w="8328" w:type="dxa"/>
            <w:gridSpan w:val="2"/>
            <w:vAlign w:val="center"/>
          </w:tcPr>
          <w:p w:rsidR="00F91CBC" w:rsidRPr="002528ED" w:rsidRDefault="00F91CBC" w:rsidP="003601C0">
            <w:pPr>
              <w:pStyle w:val="a3"/>
              <w:spacing w:line="240" w:lineRule="auto"/>
              <w:ind w:left="0" w:firstLine="0"/>
              <w:jc w:val="left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>
              <w:rPr>
                <w:rFonts w:eastAsia="標楷體"/>
                <w:color w:val="auto"/>
                <w:sz w:val="24"/>
                <w:szCs w:val="24"/>
                <w:u w:val="none"/>
              </w:rPr>
              <w:t>105</w:t>
            </w: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年</w:t>
            </w:r>
            <w:r w:rsidRPr="002528ED">
              <w:rPr>
                <w:rFonts w:eastAsia="標楷體"/>
                <w:color w:val="auto"/>
                <w:sz w:val="24"/>
                <w:szCs w:val="24"/>
                <w:u w:val="none"/>
              </w:rPr>
              <w:t>11</w:t>
            </w: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eastAsia="標楷體"/>
                <w:color w:val="auto"/>
                <w:sz w:val="24"/>
                <w:szCs w:val="24"/>
                <w:u w:val="none"/>
              </w:rPr>
              <w:t>10</w:t>
            </w: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日</w:t>
            </w:r>
            <w:r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(</w:t>
            </w:r>
            <w:r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四</w:t>
            </w:r>
            <w:r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 xml:space="preserve">)  </w:t>
            </w:r>
            <w:r w:rsidRPr="002528ED">
              <w:rPr>
                <w:rFonts w:eastAsia="標楷體"/>
                <w:color w:val="auto"/>
                <w:sz w:val="24"/>
                <w:szCs w:val="24"/>
                <w:u w:val="none"/>
              </w:rPr>
              <w:t>08:30-17:00</w:t>
            </w:r>
          </w:p>
        </w:tc>
      </w:tr>
      <w:tr w:rsidR="00F91CBC" w:rsidRPr="00346383" w:rsidTr="003601C0">
        <w:trPr>
          <w:jc w:val="center"/>
        </w:trPr>
        <w:tc>
          <w:tcPr>
            <w:tcW w:w="1418" w:type="dxa"/>
            <w:vAlign w:val="center"/>
          </w:tcPr>
          <w:p w:rsidR="00F91CBC" w:rsidRPr="002528ED" w:rsidRDefault="00F91CBC" w:rsidP="003601C0">
            <w:pPr>
              <w:pStyle w:val="a3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地點</w:t>
            </w:r>
          </w:p>
        </w:tc>
        <w:tc>
          <w:tcPr>
            <w:tcW w:w="8328" w:type="dxa"/>
            <w:gridSpan w:val="2"/>
            <w:vAlign w:val="center"/>
          </w:tcPr>
          <w:p w:rsidR="00F91CBC" w:rsidRPr="002528ED" w:rsidRDefault="00F91CBC" w:rsidP="003601C0">
            <w:pPr>
              <w:pStyle w:val="a3"/>
              <w:spacing w:line="240" w:lineRule="auto"/>
              <w:ind w:left="0" w:firstLine="0"/>
              <w:jc w:val="left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集思交通部國際會議中心，台北市中正區杭州南路一段</w:t>
            </w:r>
            <w:r w:rsidRPr="002528ED">
              <w:rPr>
                <w:rFonts w:eastAsia="標楷體"/>
                <w:color w:val="auto"/>
                <w:sz w:val="24"/>
                <w:szCs w:val="24"/>
                <w:u w:val="none"/>
              </w:rPr>
              <w:t>24</w:t>
            </w: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號</w:t>
            </w:r>
          </w:p>
        </w:tc>
      </w:tr>
      <w:tr w:rsidR="00F91CBC" w:rsidRPr="00346383" w:rsidTr="003601C0">
        <w:trPr>
          <w:jc w:val="center"/>
        </w:trPr>
        <w:tc>
          <w:tcPr>
            <w:tcW w:w="1418" w:type="dxa"/>
            <w:vAlign w:val="center"/>
          </w:tcPr>
          <w:p w:rsidR="00F91CBC" w:rsidRPr="002528ED" w:rsidRDefault="00D01298" w:rsidP="003601C0">
            <w:pPr>
              <w:pStyle w:val="a3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報名期限</w:t>
            </w:r>
          </w:p>
        </w:tc>
        <w:tc>
          <w:tcPr>
            <w:tcW w:w="8328" w:type="dxa"/>
            <w:gridSpan w:val="2"/>
            <w:vAlign w:val="center"/>
          </w:tcPr>
          <w:p w:rsidR="00F91CBC" w:rsidRPr="002528ED" w:rsidRDefault="00F91CBC" w:rsidP="00D01298">
            <w:pPr>
              <w:pStyle w:val="a3"/>
              <w:spacing w:line="240" w:lineRule="auto"/>
              <w:ind w:left="0" w:firstLine="0"/>
              <w:jc w:val="left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2528ED">
              <w:rPr>
                <w:rFonts w:eastAsia="標楷體"/>
                <w:color w:val="auto"/>
                <w:sz w:val="24"/>
                <w:szCs w:val="24"/>
                <w:u w:val="none"/>
              </w:rPr>
              <w:t>10</w:t>
            </w:r>
            <w:r>
              <w:rPr>
                <w:rFonts w:eastAsia="標楷體"/>
                <w:color w:val="auto"/>
                <w:sz w:val="24"/>
                <w:szCs w:val="24"/>
                <w:u w:val="none"/>
              </w:rPr>
              <w:t>5</w:t>
            </w: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年</w:t>
            </w:r>
            <w:r w:rsidRPr="002528ED">
              <w:rPr>
                <w:rFonts w:eastAsia="標楷體"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Fonts w:eastAsia="標楷體"/>
                <w:color w:val="auto"/>
                <w:sz w:val="24"/>
                <w:szCs w:val="24"/>
                <w:u w:val="none"/>
              </w:rPr>
              <w:t>1</w:t>
            </w: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4</w:t>
            </w: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日</w:t>
            </w:r>
            <w:r w:rsidRPr="002528ED">
              <w:rPr>
                <w:rFonts w:eastAsia="標楷體"/>
                <w:color w:val="auto"/>
                <w:sz w:val="24"/>
                <w:szCs w:val="24"/>
                <w:u w:val="none"/>
              </w:rPr>
              <w:t>(</w:t>
            </w:r>
            <w:r w:rsidR="00D01298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星期</w:t>
            </w:r>
            <w:r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五</w:t>
            </w:r>
            <w:r w:rsidRPr="002528ED">
              <w:rPr>
                <w:rFonts w:eastAsia="標楷體"/>
                <w:color w:val="auto"/>
                <w:sz w:val="24"/>
                <w:szCs w:val="24"/>
                <w:u w:val="none"/>
              </w:rPr>
              <w:t>)</w:t>
            </w:r>
          </w:p>
        </w:tc>
      </w:tr>
      <w:tr w:rsidR="00F91CBC" w:rsidRPr="00346383" w:rsidTr="003601C0">
        <w:trPr>
          <w:jc w:val="center"/>
        </w:trPr>
        <w:tc>
          <w:tcPr>
            <w:tcW w:w="1418" w:type="dxa"/>
            <w:vAlign w:val="center"/>
          </w:tcPr>
          <w:p w:rsidR="00F91CBC" w:rsidRPr="002528ED" w:rsidRDefault="00F91CBC" w:rsidP="003601C0">
            <w:pPr>
              <w:pStyle w:val="a3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報名費用</w:t>
            </w:r>
          </w:p>
        </w:tc>
        <w:tc>
          <w:tcPr>
            <w:tcW w:w="8328" w:type="dxa"/>
            <w:gridSpan w:val="2"/>
            <w:vAlign w:val="center"/>
          </w:tcPr>
          <w:p w:rsidR="00F91CBC" w:rsidRPr="00061842" w:rsidRDefault="00F91CBC" w:rsidP="003601C0">
            <w:pPr>
              <w:pStyle w:val="a3"/>
              <w:spacing w:line="240" w:lineRule="auto"/>
              <w:ind w:left="0" w:firstLine="0"/>
              <w:jc w:val="left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061842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全程免費，提供講義、午餐</w:t>
            </w:r>
          </w:p>
        </w:tc>
      </w:tr>
      <w:tr w:rsidR="00F91CBC" w:rsidRPr="00346383" w:rsidTr="003601C0">
        <w:trPr>
          <w:trHeight w:val="539"/>
          <w:jc w:val="center"/>
        </w:trPr>
        <w:tc>
          <w:tcPr>
            <w:tcW w:w="9746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91CBC" w:rsidRPr="002528ED" w:rsidRDefault="00F91CBC" w:rsidP="003601C0">
            <w:pPr>
              <w:pStyle w:val="a3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交通方式</w:t>
            </w:r>
          </w:p>
        </w:tc>
      </w:tr>
      <w:tr w:rsidR="00F91CBC" w:rsidRPr="00346383" w:rsidTr="003601C0">
        <w:trPr>
          <w:trHeight w:val="274"/>
          <w:jc w:val="center"/>
        </w:trPr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BC" w:rsidRPr="002528ED" w:rsidRDefault="00F91CBC" w:rsidP="003601C0">
            <w:pPr>
              <w:pStyle w:val="a3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346383">
              <w:rPr>
                <w:noProof/>
                <w:sz w:val="24"/>
                <w:szCs w:val="24"/>
              </w:rPr>
              <w:drawing>
                <wp:inline distT="0" distB="0" distL="0" distR="0" wp14:anchorId="43FE5640" wp14:editId="0F3FA3DA">
                  <wp:extent cx="2806663" cy="2019631"/>
                  <wp:effectExtent l="0" t="0" r="0" b="0"/>
                  <wp:docPr id="1" name="圖片 1" descr="http://event.motc.gov.tw/fckdowndoc?file=/transportation.png&amp;flag=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vent.motc.gov.tw/fckdowndoc?file=/transportation.png&amp;flag=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122" cy="20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BC" w:rsidRPr="00A857C6" w:rsidRDefault="00F91CBC" w:rsidP="003601C0">
            <w:pPr>
              <w:pStyle w:val="-"/>
              <w:adjustRightInd w:val="0"/>
              <w:snapToGrid w:val="0"/>
              <w:spacing w:beforeLines="0" w:line="240" w:lineRule="auto"/>
              <w:ind w:leftChars="0" w:left="0" w:firstLineChars="2" w:firstLine="5"/>
              <w:jc w:val="both"/>
              <w:rPr>
                <w:b/>
                <w:sz w:val="24"/>
                <w:szCs w:val="24"/>
              </w:rPr>
            </w:pPr>
            <w:r w:rsidRPr="00346383">
              <w:rPr>
                <w:b/>
                <w:sz w:val="24"/>
                <w:szCs w:val="24"/>
              </w:rPr>
              <w:t>集思交通部國際會議中心</w:t>
            </w:r>
            <w:r w:rsidRPr="00346383">
              <w:rPr>
                <w:b/>
                <w:sz w:val="24"/>
                <w:szCs w:val="24"/>
              </w:rPr>
              <w:t>3F+4F (</w:t>
            </w:r>
            <w:r w:rsidRPr="00346383">
              <w:rPr>
                <w:b/>
                <w:sz w:val="24"/>
                <w:szCs w:val="24"/>
              </w:rPr>
              <w:t>台北市中正區杭州南路一段</w:t>
            </w:r>
            <w:r w:rsidRPr="00346383">
              <w:rPr>
                <w:b/>
                <w:sz w:val="24"/>
                <w:szCs w:val="24"/>
              </w:rPr>
              <w:t>24</w:t>
            </w:r>
            <w:r w:rsidRPr="00A857C6">
              <w:rPr>
                <w:b/>
                <w:sz w:val="24"/>
                <w:szCs w:val="24"/>
              </w:rPr>
              <w:t>號</w:t>
            </w:r>
            <w:r w:rsidRPr="00A857C6">
              <w:rPr>
                <w:b/>
                <w:sz w:val="24"/>
                <w:szCs w:val="24"/>
              </w:rPr>
              <w:t>)</w:t>
            </w:r>
          </w:p>
          <w:p w:rsidR="00F91CBC" w:rsidRPr="00A857C6" w:rsidRDefault="00F91CBC" w:rsidP="00F91CBC">
            <w:pPr>
              <w:pStyle w:val="-0"/>
              <w:numPr>
                <w:ilvl w:val="0"/>
                <w:numId w:val="1"/>
              </w:numPr>
              <w:adjustRightInd w:val="0"/>
              <w:snapToGrid w:val="0"/>
              <w:spacing w:beforeLines="0" w:line="240" w:lineRule="auto"/>
              <w:ind w:leftChars="0" w:left="284" w:firstLineChars="0" w:hanging="284"/>
              <w:rPr>
                <w:sz w:val="24"/>
                <w:szCs w:val="24"/>
              </w:rPr>
            </w:pPr>
            <w:r w:rsidRPr="00A857C6">
              <w:rPr>
                <w:sz w:val="24"/>
                <w:szCs w:val="24"/>
              </w:rPr>
              <w:t>捷運</w:t>
            </w:r>
          </w:p>
          <w:p w:rsidR="00F91CBC" w:rsidRPr="00A857C6" w:rsidRDefault="00F91CBC" w:rsidP="00F91CBC">
            <w:pPr>
              <w:pStyle w:val="-"/>
              <w:numPr>
                <w:ilvl w:val="0"/>
                <w:numId w:val="2"/>
              </w:numPr>
              <w:adjustRightInd w:val="0"/>
              <w:snapToGrid w:val="0"/>
              <w:spacing w:beforeLines="0" w:line="240" w:lineRule="auto"/>
              <w:ind w:leftChars="0" w:left="284" w:firstLineChars="0" w:hanging="284"/>
              <w:jc w:val="both"/>
              <w:rPr>
                <w:sz w:val="24"/>
                <w:szCs w:val="24"/>
              </w:rPr>
            </w:pPr>
            <w:r w:rsidRPr="00A857C6">
              <w:rPr>
                <w:sz w:val="24"/>
                <w:szCs w:val="24"/>
              </w:rPr>
              <w:t>板南線【善導寺】</w:t>
            </w:r>
            <w:r w:rsidRPr="00A857C6">
              <w:rPr>
                <w:sz w:val="24"/>
                <w:szCs w:val="24"/>
              </w:rPr>
              <w:t>5</w:t>
            </w:r>
            <w:r w:rsidRPr="00A857C6">
              <w:rPr>
                <w:sz w:val="24"/>
                <w:szCs w:val="24"/>
              </w:rPr>
              <w:t>號出口</w:t>
            </w:r>
          </w:p>
          <w:p w:rsidR="00F91CBC" w:rsidRPr="007F59BD" w:rsidRDefault="00F91CBC" w:rsidP="00F91CBC">
            <w:pPr>
              <w:pStyle w:val="-"/>
              <w:numPr>
                <w:ilvl w:val="0"/>
                <w:numId w:val="2"/>
              </w:numPr>
              <w:adjustRightInd w:val="0"/>
              <w:snapToGrid w:val="0"/>
              <w:spacing w:beforeLines="0" w:line="240" w:lineRule="auto"/>
              <w:ind w:leftChars="0" w:left="284" w:firstLineChars="0" w:hanging="284"/>
              <w:jc w:val="both"/>
              <w:rPr>
                <w:sz w:val="24"/>
                <w:szCs w:val="24"/>
              </w:rPr>
            </w:pPr>
            <w:r w:rsidRPr="00A857C6">
              <w:rPr>
                <w:sz w:val="24"/>
                <w:szCs w:val="24"/>
              </w:rPr>
              <w:t>淡水線【台大醫院】</w:t>
            </w:r>
            <w:r w:rsidRPr="00A857C6">
              <w:rPr>
                <w:sz w:val="24"/>
                <w:szCs w:val="24"/>
              </w:rPr>
              <w:t>2</w:t>
            </w:r>
            <w:r w:rsidRPr="00A857C6">
              <w:rPr>
                <w:sz w:val="24"/>
                <w:szCs w:val="24"/>
              </w:rPr>
              <w:t>號出口</w:t>
            </w:r>
          </w:p>
          <w:p w:rsidR="00F91CBC" w:rsidRPr="00346383" w:rsidRDefault="00F91CBC" w:rsidP="00F91CBC">
            <w:pPr>
              <w:pStyle w:val="-"/>
              <w:numPr>
                <w:ilvl w:val="0"/>
                <w:numId w:val="2"/>
              </w:numPr>
              <w:adjustRightInd w:val="0"/>
              <w:snapToGrid w:val="0"/>
              <w:spacing w:beforeLines="0" w:line="240" w:lineRule="auto"/>
              <w:ind w:leftChars="0" w:left="284" w:firstLineChars="0" w:hanging="284"/>
              <w:jc w:val="both"/>
              <w:rPr>
                <w:sz w:val="24"/>
                <w:szCs w:val="24"/>
              </w:rPr>
            </w:pPr>
            <w:proofErr w:type="gramStart"/>
            <w:r w:rsidRPr="00BC6649">
              <w:rPr>
                <w:sz w:val="24"/>
                <w:szCs w:val="24"/>
              </w:rPr>
              <w:t>新蘆線</w:t>
            </w:r>
            <w:proofErr w:type="gramEnd"/>
            <w:r w:rsidRPr="00BC6649">
              <w:rPr>
                <w:sz w:val="24"/>
                <w:szCs w:val="24"/>
              </w:rPr>
              <w:t>【東門站】</w:t>
            </w:r>
            <w:r w:rsidRPr="00BC6649">
              <w:rPr>
                <w:sz w:val="24"/>
                <w:szCs w:val="24"/>
              </w:rPr>
              <w:t>1</w:t>
            </w:r>
            <w:r w:rsidRPr="00BC6649">
              <w:rPr>
                <w:sz w:val="24"/>
                <w:szCs w:val="24"/>
              </w:rPr>
              <w:t>、</w:t>
            </w:r>
            <w:r w:rsidRPr="00346383">
              <w:rPr>
                <w:sz w:val="24"/>
                <w:szCs w:val="24"/>
              </w:rPr>
              <w:t>2</w:t>
            </w:r>
            <w:r w:rsidRPr="00346383">
              <w:rPr>
                <w:rFonts w:hint="eastAsia"/>
                <w:sz w:val="24"/>
                <w:szCs w:val="24"/>
              </w:rPr>
              <w:t>號出口</w:t>
            </w:r>
          </w:p>
          <w:p w:rsidR="00F91CBC" w:rsidRPr="00346383" w:rsidRDefault="00F91CBC" w:rsidP="00F91CBC">
            <w:pPr>
              <w:pStyle w:val="-"/>
              <w:numPr>
                <w:ilvl w:val="0"/>
                <w:numId w:val="2"/>
              </w:numPr>
              <w:adjustRightInd w:val="0"/>
              <w:snapToGrid w:val="0"/>
              <w:spacing w:beforeLines="0" w:line="240" w:lineRule="auto"/>
              <w:ind w:leftChars="0" w:left="284" w:firstLineChars="0" w:hanging="284"/>
              <w:jc w:val="both"/>
              <w:rPr>
                <w:sz w:val="24"/>
                <w:szCs w:val="24"/>
              </w:rPr>
            </w:pPr>
            <w:r w:rsidRPr="00346383">
              <w:rPr>
                <w:rFonts w:hint="eastAsia"/>
                <w:sz w:val="24"/>
                <w:szCs w:val="24"/>
              </w:rPr>
              <w:t>新店線【中正紀念堂】</w:t>
            </w:r>
            <w:r w:rsidRPr="00346383">
              <w:rPr>
                <w:sz w:val="24"/>
                <w:szCs w:val="24"/>
              </w:rPr>
              <w:t>5</w:t>
            </w:r>
            <w:r w:rsidRPr="00346383">
              <w:rPr>
                <w:rFonts w:hint="eastAsia"/>
                <w:sz w:val="24"/>
                <w:szCs w:val="24"/>
              </w:rPr>
              <w:t>號出口</w:t>
            </w:r>
          </w:p>
          <w:p w:rsidR="00F91CBC" w:rsidRPr="00346383" w:rsidRDefault="00F91CBC" w:rsidP="00F91CBC">
            <w:pPr>
              <w:pStyle w:val="-0"/>
              <w:numPr>
                <w:ilvl w:val="0"/>
                <w:numId w:val="1"/>
              </w:numPr>
              <w:adjustRightInd w:val="0"/>
              <w:snapToGrid w:val="0"/>
              <w:spacing w:beforeLines="0" w:line="240" w:lineRule="auto"/>
              <w:ind w:leftChars="0" w:left="284" w:firstLineChars="0" w:hanging="284"/>
              <w:rPr>
                <w:sz w:val="24"/>
                <w:szCs w:val="24"/>
              </w:rPr>
            </w:pPr>
            <w:r w:rsidRPr="00346383">
              <w:rPr>
                <w:rFonts w:hint="eastAsia"/>
                <w:sz w:val="24"/>
                <w:szCs w:val="24"/>
              </w:rPr>
              <w:t>公車</w:t>
            </w:r>
          </w:p>
          <w:p w:rsidR="00F91CBC" w:rsidRPr="00346383" w:rsidRDefault="00F91CBC" w:rsidP="00F91CBC">
            <w:pPr>
              <w:pStyle w:val="-"/>
              <w:numPr>
                <w:ilvl w:val="0"/>
                <w:numId w:val="3"/>
              </w:numPr>
              <w:adjustRightInd w:val="0"/>
              <w:snapToGrid w:val="0"/>
              <w:spacing w:beforeLines="0" w:line="240" w:lineRule="auto"/>
              <w:ind w:leftChars="0" w:left="284" w:firstLineChars="0" w:hanging="284"/>
              <w:jc w:val="both"/>
              <w:rPr>
                <w:sz w:val="24"/>
                <w:szCs w:val="24"/>
              </w:rPr>
            </w:pPr>
            <w:r w:rsidRPr="00346383">
              <w:rPr>
                <w:rFonts w:hint="eastAsia"/>
                <w:sz w:val="24"/>
                <w:szCs w:val="24"/>
              </w:rPr>
              <w:t>仁愛路紹興路口</w:t>
            </w:r>
            <w:r w:rsidRPr="00346383">
              <w:rPr>
                <w:sz w:val="24"/>
                <w:szCs w:val="24"/>
              </w:rPr>
              <w:t>(</w:t>
            </w:r>
            <w:r w:rsidRPr="00346383">
              <w:rPr>
                <w:rFonts w:hint="eastAsia"/>
                <w:sz w:val="24"/>
                <w:szCs w:val="24"/>
              </w:rPr>
              <w:t>往市政府</w:t>
            </w:r>
            <w:r w:rsidRPr="00346383">
              <w:rPr>
                <w:sz w:val="24"/>
                <w:szCs w:val="24"/>
              </w:rPr>
              <w:t>)</w:t>
            </w:r>
            <w:r w:rsidRPr="00346383">
              <w:rPr>
                <w:rFonts w:hint="eastAsia"/>
                <w:sz w:val="24"/>
                <w:szCs w:val="24"/>
              </w:rPr>
              <w:t>：</w:t>
            </w:r>
            <w:r w:rsidRPr="00346383">
              <w:rPr>
                <w:sz w:val="24"/>
                <w:szCs w:val="24"/>
              </w:rPr>
              <w:t>665.37.245.261.263.270.621.630.651</w:t>
            </w:r>
          </w:p>
          <w:p w:rsidR="00F91CBC" w:rsidRPr="00346383" w:rsidRDefault="00F91CBC" w:rsidP="00F91CBC">
            <w:pPr>
              <w:pStyle w:val="-"/>
              <w:numPr>
                <w:ilvl w:val="0"/>
                <w:numId w:val="3"/>
              </w:numPr>
              <w:adjustRightInd w:val="0"/>
              <w:snapToGrid w:val="0"/>
              <w:spacing w:beforeLines="0" w:line="240" w:lineRule="auto"/>
              <w:ind w:leftChars="0" w:left="284" w:firstLineChars="0" w:hanging="284"/>
              <w:jc w:val="both"/>
              <w:rPr>
                <w:sz w:val="24"/>
                <w:szCs w:val="24"/>
              </w:rPr>
            </w:pPr>
            <w:r w:rsidRPr="00346383">
              <w:rPr>
                <w:rFonts w:hint="eastAsia"/>
                <w:sz w:val="24"/>
                <w:szCs w:val="24"/>
              </w:rPr>
              <w:t>仁愛杭州路口</w:t>
            </w:r>
            <w:r w:rsidRPr="00346383">
              <w:rPr>
                <w:sz w:val="24"/>
                <w:szCs w:val="24"/>
              </w:rPr>
              <w:t>(</w:t>
            </w:r>
            <w:r w:rsidRPr="00346383">
              <w:rPr>
                <w:rFonts w:hint="eastAsia"/>
                <w:sz w:val="24"/>
                <w:szCs w:val="24"/>
              </w:rPr>
              <w:t>往台北車站</w:t>
            </w:r>
            <w:r w:rsidRPr="00346383">
              <w:rPr>
                <w:sz w:val="24"/>
                <w:szCs w:val="24"/>
              </w:rPr>
              <w:t>)</w:t>
            </w:r>
            <w:r w:rsidRPr="00346383">
              <w:rPr>
                <w:rFonts w:hint="eastAsia"/>
                <w:sz w:val="24"/>
                <w:szCs w:val="24"/>
              </w:rPr>
              <w:t>：</w:t>
            </w:r>
            <w:r w:rsidRPr="00346383">
              <w:rPr>
                <w:sz w:val="24"/>
                <w:szCs w:val="24"/>
              </w:rPr>
              <w:t>37.245.261.263.270.621.630.651.665</w:t>
            </w:r>
          </w:p>
          <w:p w:rsidR="00F91CBC" w:rsidRPr="00346383" w:rsidRDefault="00F91CBC" w:rsidP="00F91CBC">
            <w:pPr>
              <w:pStyle w:val="-"/>
              <w:numPr>
                <w:ilvl w:val="0"/>
                <w:numId w:val="3"/>
              </w:numPr>
              <w:adjustRightInd w:val="0"/>
              <w:snapToGrid w:val="0"/>
              <w:spacing w:beforeLines="0" w:line="240" w:lineRule="auto"/>
              <w:ind w:leftChars="0" w:left="284" w:firstLineChars="0" w:hanging="284"/>
              <w:jc w:val="both"/>
              <w:rPr>
                <w:sz w:val="24"/>
                <w:szCs w:val="24"/>
              </w:rPr>
            </w:pPr>
            <w:r w:rsidRPr="00346383">
              <w:rPr>
                <w:rFonts w:hint="eastAsia"/>
                <w:sz w:val="24"/>
                <w:szCs w:val="24"/>
              </w:rPr>
              <w:t>仁愛杭州路口：</w:t>
            </w:r>
            <w:r w:rsidRPr="00346383">
              <w:rPr>
                <w:sz w:val="24"/>
                <w:szCs w:val="24"/>
              </w:rPr>
              <w:t>249.253.297</w:t>
            </w:r>
          </w:p>
          <w:p w:rsidR="00F91CBC" w:rsidRPr="00346383" w:rsidRDefault="00F91CBC" w:rsidP="00F91CBC">
            <w:pPr>
              <w:pStyle w:val="-"/>
              <w:numPr>
                <w:ilvl w:val="0"/>
                <w:numId w:val="3"/>
              </w:numPr>
              <w:adjustRightInd w:val="0"/>
              <w:snapToGrid w:val="0"/>
              <w:spacing w:beforeLines="0" w:line="240" w:lineRule="auto"/>
              <w:ind w:leftChars="0" w:left="284" w:firstLineChars="0" w:hanging="284"/>
              <w:jc w:val="both"/>
              <w:rPr>
                <w:sz w:val="24"/>
                <w:szCs w:val="24"/>
              </w:rPr>
            </w:pPr>
            <w:r w:rsidRPr="00346383">
              <w:rPr>
                <w:rFonts w:hint="eastAsia"/>
                <w:sz w:val="24"/>
                <w:szCs w:val="24"/>
              </w:rPr>
              <w:t>信義杭州路口</w:t>
            </w:r>
            <w:r w:rsidRPr="00346383">
              <w:rPr>
                <w:sz w:val="24"/>
                <w:szCs w:val="24"/>
              </w:rPr>
              <w:t>(</w:t>
            </w:r>
            <w:r w:rsidRPr="00346383">
              <w:rPr>
                <w:rFonts w:hint="eastAsia"/>
                <w:sz w:val="24"/>
                <w:szCs w:val="24"/>
              </w:rPr>
              <w:t>往台北車站</w:t>
            </w:r>
            <w:r w:rsidRPr="00346383">
              <w:rPr>
                <w:sz w:val="24"/>
                <w:szCs w:val="24"/>
              </w:rPr>
              <w:t>)</w:t>
            </w:r>
            <w:r w:rsidRPr="00346383">
              <w:rPr>
                <w:rFonts w:hint="eastAsia"/>
                <w:sz w:val="24"/>
                <w:szCs w:val="24"/>
              </w:rPr>
              <w:t>：</w:t>
            </w:r>
            <w:r w:rsidRPr="00346383">
              <w:rPr>
                <w:sz w:val="24"/>
                <w:szCs w:val="24"/>
              </w:rPr>
              <w:t>0</w:t>
            </w:r>
            <w:r w:rsidRPr="00346383">
              <w:rPr>
                <w:rFonts w:hint="eastAsia"/>
                <w:sz w:val="24"/>
                <w:szCs w:val="24"/>
              </w:rPr>
              <w:t>東</w:t>
            </w:r>
            <w:r w:rsidRPr="00346383">
              <w:rPr>
                <w:sz w:val="24"/>
                <w:szCs w:val="24"/>
              </w:rPr>
              <w:t>.3.20.22.38.204.</w:t>
            </w:r>
            <w:r w:rsidRPr="00346383">
              <w:rPr>
                <w:rFonts w:hint="eastAsia"/>
                <w:sz w:val="24"/>
                <w:szCs w:val="24"/>
              </w:rPr>
              <w:t>信義幹線</w:t>
            </w:r>
            <w:r w:rsidRPr="00346383">
              <w:rPr>
                <w:sz w:val="24"/>
                <w:szCs w:val="24"/>
              </w:rPr>
              <w:t>.</w:t>
            </w:r>
            <w:r w:rsidRPr="00346383">
              <w:rPr>
                <w:rFonts w:hint="eastAsia"/>
                <w:sz w:val="24"/>
                <w:szCs w:val="24"/>
              </w:rPr>
              <w:t>信義新幹線</w:t>
            </w:r>
            <w:r w:rsidRPr="00346383">
              <w:rPr>
                <w:sz w:val="24"/>
                <w:szCs w:val="24"/>
              </w:rPr>
              <w:t>.1503</w:t>
            </w:r>
          </w:p>
          <w:p w:rsidR="00F91CBC" w:rsidRPr="00346383" w:rsidRDefault="00F91CBC" w:rsidP="00F91CBC">
            <w:pPr>
              <w:pStyle w:val="-"/>
              <w:numPr>
                <w:ilvl w:val="0"/>
                <w:numId w:val="3"/>
              </w:numPr>
              <w:adjustRightInd w:val="0"/>
              <w:snapToGrid w:val="0"/>
              <w:spacing w:beforeLines="0" w:line="240" w:lineRule="auto"/>
              <w:ind w:leftChars="0" w:left="284" w:firstLineChars="0" w:hanging="284"/>
              <w:jc w:val="both"/>
              <w:rPr>
                <w:sz w:val="24"/>
                <w:szCs w:val="24"/>
              </w:rPr>
            </w:pPr>
            <w:r w:rsidRPr="00346383">
              <w:rPr>
                <w:rFonts w:hint="eastAsia"/>
                <w:sz w:val="24"/>
                <w:szCs w:val="24"/>
              </w:rPr>
              <w:t>金甌女中：</w:t>
            </w:r>
            <w:r w:rsidRPr="00346383">
              <w:rPr>
                <w:sz w:val="24"/>
                <w:szCs w:val="24"/>
              </w:rPr>
              <w:t>38.237.2021</w:t>
            </w:r>
          </w:p>
          <w:p w:rsidR="00F91CBC" w:rsidRPr="00346383" w:rsidRDefault="00F91CBC" w:rsidP="00F91CBC">
            <w:pPr>
              <w:pStyle w:val="-"/>
              <w:numPr>
                <w:ilvl w:val="0"/>
                <w:numId w:val="3"/>
              </w:numPr>
              <w:adjustRightInd w:val="0"/>
              <w:snapToGrid w:val="0"/>
              <w:spacing w:beforeLines="0" w:line="240" w:lineRule="auto"/>
              <w:ind w:leftChars="0" w:left="284" w:firstLineChars="0" w:hanging="284"/>
              <w:jc w:val="both"/>
              <w:rPr>
                <w:sz w:val="24"/>
                <w:szCs w:val="24"/>
              </w:rPr>
            </w:pPr>
            <w:r w:rsidRPr="00346383">
              <w:rPr>
                <w:rFonts w:hint="eastAsia"/>
                <w:sz w:val="24"/>
                <w:szCs w:val="24"/>
              </w:rPr>
              <w:t>仁愛路二段：</w:t>
            </w:r>
            <w:r w:rsidRPr="00346383">
              <w:rPr>
                <w:sz w:val="24"/>
                <w:szCs w:val="24"/>
              </w:rPr>
              <w:t>214.248.606</w:t>
            </w:r>
          </w:p>
          <w:p w:rsidR="00F91CBC" w:rsidRPr="00346383" w:rsidRDefault="00F91CBC" w:rsidP="00F91CBC">
            <w:pPr>
              <w:pStyle w:val="-"/>
              <w:numPr>
                <w:ilvl w:val="0"/>
                <w:numId w:val="3"/>
              </w:numPr>
              <w:adjustRightInd w:val="0"/>
              <w:snapToGrid w:val="0"/>
              <w:spacing w:beforeLines="0" w:line="240" w:lineRule="auto"/>
              <w:ind w:leftChars="0" w:left="284" w:firstLineChars="0" w:hanging="284"/>
              <w:rPr>
                <w:sz w:val="24"/>
                <w:szCs w:val="24"/>
              </w:rPr>
            </w:pPr>
            <w:r w:rsidRPr="00346383">
              <w:rPr>
                <w:rFonts w:hint="eastAsia"/>
                <w:sz w:val="24"/>
                <w:szCs w:val="24"/>
              </w:rPr>
              <w:t>信義杭州路口</w:t>
            </w:r>
            <w:r w:rsidRPr="00346383">
              <w:rPr>
                <w:sz w:val="24"/>
                <w:szCs w:val="24"/>
              </w:rPr>
              <w:t>(</w:t>
            </w:r>
            <w:r w:rsidRPr="00346383">
              <w:rPr>
                <w:rFonts w:hint="eastAsia"/>
                <w:sz w:val="24"/>
                <w:szCs w:val="24"/>
              </w:rPr>
              <w:t>往</w:t>
            </w:r>
            <w:r w:rsidRPr="00346383">
              <w:rPr>
                <w:sz w:val="24"/>
                <w:szCs w:val="24"/>
              </w:rPr>
              <w:t>101)</w:t>
            </w:r>
            <w:r w:rsidRPr="00346383">
              <w:rPr>
                <w:rFonts w:hint="eastAsia"/>
                <w:sz w:val="24"/>
                <w:szCs w:val="24"/>
              </w:rPr>
              <w:t>：</w:t>
            </w:r>
            <w:r w:rsidRPr="00346383">
              <w:rPr>
                <w:sz w:val="24"/>
                <w:szCs w:val="24"/>
              </w:rPr>
              <w:t>0</w:t>
            </w:r>
            <w:r w:rsidRPr="00346383">
              <w:rPr>
                <w:rFonts w:hint="eastAsia"/>
                <w:sz w:val="24"/>
                <w:szCs w:val="24"/>
              </w:rPr>
              <w:t>東</w:t>
            </w:r>
            <w:r w:rsidRPr="00346383">
              <w:rPr>
                <w:sz w:val="24"/>
                <w:szCs w:val="24"/>
              </w:rPr>
              <w:t>.20.22.204.670.671</w:t>
            </w:r>
          </w:p>
          <w:p w:rsidR="00F91CBC" w:rsidRPr="00346383" w:rsidRDefault="00F91CBC" w:rsidP="00F91CBC">
            <w:pPr>
              <w:pStyle w:val="-"/>
              <w:numPr>
                <w:ilvl w:val="0"/>
                <w:numId w:val="3"/>
              </w:numPr>
              <w:adjustRightInd w:val="0"/>
              <w:snapToGrid w:val="0"/>
              <w:spacing w:beforeLines="0" w:line="240" w:lineRule="auto"/>
              <w:ind w:leftChars="0" w:left="284" w:firstLineChars="0" w:hanging="284"/>
              <w:rPr>
                <w:sz w:val="24"/>
                <w:szCs w:val="24"/>
              </w:rPr>
            </w:pPr>
            <w:r w:rsidRPr="00346383">
              <w:rPr>
                <w:rFonts w:hint="eastAsia"/>
                <w:sz w:val="24"/>
                <w:szCs w:val="24"/>
              </w:rPr>
              <w:t>信義幹線</w:t>
            </w:r>
            <w:r w:rsidRPr="00346383">
              <w:rPr>
                <w:sz w:val="24"/>
                <w:szCs w:val="24"/>
              </w:rPr>
              <w:t>.</w:t>
            </w:r>
            <w:r w:rsidRPr="00346383">
              <w:rPr>
                <w:rFonts w:hint="eastAsia"/>
                <w:sz w:val="24"/>
                <w:szCs w:val="24"/>
              </w:rPr>
              <w:t>信義新幹線</w:t>
            </w:r>
            <w:r w:rsidRPr="00346383">
              <w:rPr>
                <w:sz w:val="24"/>
                <w:szCs w:val="24"/>
              </w:rPr>
              <w:t>.1503</w:t>
            </w:r>
          </w:p>
          <w:p w:rsidR="00F91CBC" w:rsidRPr="002528ED" w:rsidRDefault="00F91CBC" w:rsidP="003601C0">
            <w:pPr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F91CBC" w:rsidRPr="00346383" w:rsidTr="003601C0">
        <w:trPr>
          <w:trHeight w:val="416"/>
          <w:jc w:val="center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CBC" w:rsidRPr="00346383" w:rsidRDefault="00F91CBC" w:rsidP="003601C0">
            <w:pPr>
              <w:pStyle w:val="a3"/>
              <w:spacing w:line="240" w:lineRule="auto"/>
              <w:ind w:left="0" w:firstLine="0"/>
              <w:jc w:val="left"/>
              <w:rPr>
                <w:noProof/>
                <w:sz w:val="24"/>
                <w:szCs w:val="24"/>
              </w:rPr>
            </w:pP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lastRenderedPageBreak/>
              <w:t>洽詢方式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BC" w:rsidRPr="00A857C6" w:rsidRDefault="00F91CBC" w:rsidP="003601C0">
            <w:pPr>
              <w:pStyle w:val="-"/>
              <w:spacing w:before="180"/>
              <w:ind w:left="360" w:firstLineChars="2" w:firstLine="5"/>
              <w:jc w:val="both"/>
              <w:rPr>
                <w:b/>
                <w:sz w:val="24"/>
                <w:szCs w:val="24"/>
              </w:rPr>
            </w:pPr>
            <w:r w:rsidRPr="00346383">
              <w:rPr>
                <w:b/>
                <w:sz w:val="24"/>
                <w:szCs w:val="24"/>
              </w:rPr>
              <w:t>財團法人安全衛生技術中心　林玫君</w:t>
            </w:r>
            <w:r w:rsidRPr="00A857C6">
              <w:rPr>
                <w:b/>
                <w:sz w:val="24"/>
                <w:szCs w:val="24"/>
              </w:rPr>
              <w:t xml:space="preserve"> </w:t>
            </w:r>
            <w:r w:rsidRPr="00A857C6">
              <w:rPr>
                <w:b/>
                <w:sz w:val="24"/>
                <w:szCs w:val="24"/>
              </w:rPr>
              <w:t>電話：</w:t>
            </w:r>
            <w:r w:rsidRPr="00A857C6">
              <w:rPr>
                <w:b/>
                <w:sz w:val="24"/>
                <w:szCs w:val="24"/>
              </w:rPr>
              <w:t>(06) 2931705</w:t>
            </w:r>
            <w:r w:rsidRPr="00A857C6">
              <w:rPr>
                <w:b/>
                <w:sz w:val="24"/>
                <w:szCs w:val="24"/>
              </w:rPr>
              <w:t xml:space="preserve">　傳真：</w:t>
            </w:r>
            <w:r w:rsidRPr="00A857C6">
              <w:rPr>
                <w:b/>
                <w:sz w:val="24"/>
                <w:szCs w:val="24"/>
              </w:rPr>
              <w:t>(06)2938810</w:t>
            </w:r>
          </w:p>
        </w:tc>
      </w:tr>
      <w:tr w:rsidR="00F91CBC" w:rsidRPr="00346383" w:rsidTr="003601C0">
        <w:trPr>
          <w:trHeight w:val="562"/>
          <w:jc w:val="center"/>
        </w:trPr>
        <w:tc>
          <w:tcPr>
            <w:tcW w:w="9746" w:type="dxa"/>
            <w:gridSpan w:val="3"/>
            <w:shd w:val="clear" w:color="auto" w:fill="B8CCE4"/>
            <w:vAlign w:val="center"/>
          </w:tcPr>
          <w:p w:rsidR="00F91CBC" w:rsidRPr="002528ED" w:rsidRDefault="00F91CBC" w:rsidP="003601C0">
            <w:pPr>
              <w:pStyle w:val="a3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報名方式</w:t>
            </w:r>
          </w:p>
        </w:tc>
      </w:tr>
      <w:tr w:rsidR="00F91CBC" w:rsidRPr="00346383" w:rsidTr="003601C0">
        <w:trPr>
          <w:trHeight w:val="698"/>
          <w:jc w:val="center"/>
        </w:trPr>
        <w:tc>
          <w:tcPr>
            <w:tcW w:w="9746" w:type="dxa"/>
            <w:gridSpan w:val="3"/>
          </w:tcPr>
          <w:p w:rsidR="00F91CBC" w:rsidRPr="00061842" w:rsidRDefault="00F91CBC" w:rsidP="00F91CBC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請</w:t>
            </w:r>
            <w:r w:rsidRPr="00061842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於</w:t>
            </w:r>
            <w:r w:rsidRPr="002528ED">
              <w:rPr>
                <w:rFonts w:eastAsia="標楷體"/>
                <w:color w:val="auto"/>
                <w:sz w:val="24"/>
                <w:szCs w:val="24"/>
                <w:u w:val="none"/>
              </w:rPr>
              <w:t>10</w:t>
            </w:r>
            <w:r>
              <w:rPr>
                <w:rFonts w:eastAsia="標楷體"/>
                <w:color w:val="auto"/>
                <w:sz w:val="24"/>
                <w:szCs w:val="24"/>
                <w:u w:val="none"/>
              </w:rPr>
              <w:t>5</w:t>
            </w: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年</w:t>
            </w:r>
            <w:r w:rsidRPr="002528ED">
              <w:rPr>
                <w:rFonts w:eastAsia="標楷體"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Fonts w:eastAsia="標楷體"/>
                <w:color w:val="auto"/>
                <w:sz w:val="24"/>
                <w:szCs w:val="24"/>
                <w:u w:val="none"/>
              </w:rPr>
              <w:t>1</w:t>
            </w: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月</w:t>
            </w:r>
            <w:r w:rsidR="00D01298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4</w:t>
            </w: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日</w:t>
            </w:r>
            <w:r w:rsidR="00D01298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前</w:t>
            </w:r>
            <w:r w:rsidRPr="00061842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以</w:t>
            </w:r>
            <w:r w:rsidR="00D01298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網路</w:t>
            </w:r>
            <w:r w:rsidRPr="00061842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線上報名。</w:t>
            </w:r>
          </w:p>
          <w:p w:rsidR="00F91CBC" w:rsidRPr="00061842" w:rsidRDefault="00F91CBC" w:rsidP="00F91CBC">
            <w:pPr>
              <w:pStyle w:val="a3"/>
              <w:numPr>
                <w:ilvl w:val="0"/>
                <w:numId w:val="4"/>
              </w:numPr>
              <w:spacing w:line="240" w:lineRule="atLeast"/>
              <w:ind w:left="447" w:hangingChars="172" w:hanging="447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061842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報名網址：</w:t>
            </w:r>
            <w:r w:rsidRPr="00061842">
              <w:rPr>
                <w:rFonts w:eastAsia="標楷體"/>
                <w:color w:val="auto"/>
                <w:sz w:val="24"/>
                <w:szCs w:val="24"/>
                <w:u w:val="none"/>
              </w:rPr>
              <w:t>http://www.sahtech.org/seminar.aspx</w:t>
            </w:r>
            <w:r w:rsidRPr="00061842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，會議前一天將</w:t>
            </w:r>
            <w:r w:rsidRPr="00061842">
              <w:rPr>
                <w:rFonts w:eastAsia="標楷體"/>
                <w:color w:val="auto"/>
                <w:sz w:val="24"/>
                <w:szCs w:val="24"/>
                <w:u w:val="none"/>
              </w:rPr>
              <w:t>E-Mail</w:t>
            </w:r>
            <w:r w:rsidRPr="00061842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發給［報到通知單］與報到編號。</w:t>
            </w:r>
          </w:p>
          <w:p w:rsidR="00F91CBC" w:rsidRPr="00061842" w:rsidRDefault="00F91CBC" w:rsidP="00F91CBC">
            <w:pPr>
              <w:pStyle w:val="a3"/>
              <w:numPr>
                <w:ilvl w:val="0"/>
                <w:numId w:val="4"/>
              </w:numPr>
              <w:spacing w:line="240" w:lineRule="atLeast"/>
              <w:ind w:left="447" w:hangingChars="172" w:hanging="447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061842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名額限制：因場地座位有限，限額</w:t>
            </w:r>
            <w:r w:rsidRPr="00061842">
              <w:rPr>
                <w:rFonts w:eastAsia="標楷體"/>
                <w:color w:val="auto"/>
                <w:sz w:val="24"/>
                <w:szCs w:val="24"/>
                <w:u w:val="none"/>
              </w:rPr>
              <w:t>120</w:t>
            </w:r>
            <w:r w:rsidRPr="00061842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名額滿為止。</w:t>
            </w:r>
          </w:p>
          <w:p w:rsidR="00F91CBC" w:rsidRPr="00124FBC" w:rsidRDefault="00F91CBC" w:rsidP="00F91CBC">
            <w:pPr>
              <w:pStyle w:val="a3"/>
              <w:numPr>
                <w:ilvl w:val="0"/>
                <w:numId w:val="4"/>
              </w:numPr>
              <w:spacing w:line="240" w:lineRule="atLeast"/>
              <w:ind w:left="447" w:hangingChars="172" w:hanging="447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061842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因人數及場地限制，執行單位保留限制每一廠家或單</w:t>
            </w: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位僅得派一位代表參加之權力，以維</w:t>
            </w:r>
            <w:r w:rsidRPr="00124FBC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護各廠家參與研討之權益，若造成不便敬請見諒。</w:t>
            </w:r>
          </w:p>
          <w:p w:rsidR="00F91CBC" w:rsidRPr="002528ED" w:rsidRDefault="00F91CBC" w:rsidP="00F91CBC">
            <w:pPr>
              <w:pStyle w:val="a3"/>
              <w:numPr>
                <w:ilvl w:val="0"/>
                <w:numId w:val="4"/>
              </w:numPr>
              <w:spacing w:line="240" w:lineRule="atLeast"/>
              <w:ind w:left="447" w:hangingChars="172" w:hanging="447"/>
              <w:rPr>
                <w:rFonts w:eastAsia="標楷體"/>
                <w:color w:val="auto"/>
                <w:sz w:val="24"/>
                <w:szCs w:val="24"/>
                <w:u w:val="none"/>
              </w:rPr>
            </w:pPr>
            <w:r w:rsidRPr="00124FBC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上述報名之個人聯絡資訊僅作為本次研討會之報</w:t>
            </w:r>
            <w:r w:rsidRPr="002528ED">
              <w:rPr>
                <w:rFonts w:eastAsia="標楷體" w:hint="eastAsia"/>
                <w:color w:val="auto"/>
                <w:sz w:val="24"/>
                <w:szCs w:val="24"/>
                <w:u w:val="none"/>
              </w:rPr>
              <w:t>名確認用，不會作其他之用途。</w:t>
            </w:r>
          </w:p>
        </w:tc>
      </w:tr>
    </w:tbl>
    <w:p w:rsidR="00EF358D" w:rsidRDefault="00A95977"/>
    <w:tbl>
      <w:tblPr>
        <w:tblW w:w="867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9"/>
        <w:gridCol w:w="3686"/>
        <w:gridCol w:w="3670"/>
      </w:tblGrid>
      <w:tr w:rsidR="00F91CBC" w:rsidRPr="009A19AA" w:rsidTr="003601C0">
        <w:trPr>
          <w:trHeight w:val="315"/>
          <w:jc w:val="center"/>
        </w:trPr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1CBC" w:rsidRPr="003E3BD1" w:rsidRDefault="00F91CBC" w:rsidP="003601C0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2016</w:t>
            </w:r>
            <w:r w:rsidRPr="003E3BD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國際化學品管理制度研討會議程</w:t>
            </w:r>
          </w:p>
        </w:tc>
      </w:tr>
      <w:tr w:rsidR="00F91CBC" w:rsidRPr="009A19AA" w:rsidTr="003601C0">
        <w:trPr>
          <w:trHeight w:val="33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A19A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A19A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會議內容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A19A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講師</w:t>
            </w:r>
          </w:p>
        </w:tc>
      </w:tr>
      <w:tr w:rsidR="00F91CBC" w:rsidRPr="009A19AA" w:rsidTr="003601C0">
        <w:trPr>
          <w:trHeight w:val="33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A19AA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  <w:r w:rsidRPr="009A19AA">
              <w:rPr>
                <w:rFonts w:ascii="Times New Roman" w:hAnsi="Times New Roman"/>
                <w:color w:val="000000"/>
                <w:kern w:val="0"/>
                <w:szCs w:val="24"/>
              </w:rPr>
              <w:t>:30-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  <w:r w:rsidRPr="009A19AA">
              <w:rPr>
                <w:rFonts w:ascii="Times New Roman" w:hAnsi="Times New Roman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 w:rsidRPr="009A19A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報到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</w:p>
        </w:tc>
      </w:tr>
      <w:tr w:rsidR="00F91CBC" w:rsidRPr="009A19AA" w:rsidTr="003601C0">
        <w:trPr>
          <w:trHeight w:val="33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10:00-10</w:t>
            </w:r>
            <w:r w:rsidRPr="009A19AA">
              <w:rPr>
                <w:rFonts w:ascii="Times New Roman" w:hAnsi="Times New Roman"/>
                <w:color w:val="000000"/>
                <w:kern w:val="0"/>
                <w:szCs w:val="24"/>
              </w:rPr>
              <w:t>:20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A19A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主辦單位致詞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A19A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行政院環境保護署</w:t>
            </w:r>
          </w:p>
        </w:tc>
      </w:tr>
      <w:tr w:rsidR="00F91CBC" w:rsidRPr="009A19AA" w:rsidTr="003601C0">
        <w:trPr>
          <w:trHeight w:val="99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10:20-11:00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64E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歐盟</w:t>
            </w:r>
            <w:r w:rsidRPr="00964E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REACH</w:t>
            </w:r>
            <w:r w:rsidRPr="00964E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及</w:t>
            </w:r>
            <w:r w:rsidRPr="00964E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CLP</w:t>
            </w:r>
            <w:r w:rsidRPr="00964E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最新執行與執法之現狀介紹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37194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歐盟歐洲化學總署</w:t>
            </w:r>
            <w:r w:rsidRPr="0037194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(ECHA)</w:t>
            </w:r>
          </w:p>
        </w:tc>
      </w:tr>
      <w:tr w:rsidR="00F91CBC" w:rsidRPr="009A19AA" w:rsidTr="003601C0">
        <w:trPr>
          <w:trHeight w:val="33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11:00-11:2</w:t>
            </w:r>
            <w:r w:rsidRPr="009A19AA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 w:rsidRPr="009A19A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中場茶敘交流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</w:p>
        </w:tc>
      </w:tr>
      <w:tr w:rsidR="00F91CBC" w:rsidRPr="009A19AA" w:rsidTr="003601C0">
        <w:trPr>
          <w:trHeight w:val="66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11:2</w:t>
            </w:r>
            <w:r w:rsidRPr="009A19AA">
              <w:rPr>
                <w:rFonts w:ascii="Times New Roman" w:hAnsi="Times New Roman"/>
                <w:color w:val="000000"/>
                <w:kern w:val="0"/>
                <w:szCs w:val="24"/>
              </w:rPr>
              <w:t>0-12:00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BC" w:rsidRPr="00BB2C75" w:rsidRDefault="00F91CBC" w:rsidP="003601C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64E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菲律賓化學品管理架構與執法情形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371949" w:rsidRDefault="00F91CBC" w:rsidP="003601C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64E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菲律賓環境管理局</w:t>
            </w:r>
          </w:p>
        </w:tc>
      </w:tr>
      <w:tr w:rsidR="00F91CBC" w:rsidRPr="009A19AA" w:rsidTr="003601C0">
        <w:trPr>
          <w:trHeight w:val="33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A19AA">
              <w:rPr>
                <w:rFonts w:ascii="Times New Roman" w:hAnsi="Times New Roman"/>
                <w:color w:val="000000"/>
                <w:kern w:val="0"/>
                <w:szCs w:val="24"/>
              </w:rPr>
              <w:t>12:00-1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4:00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 w:rsidRPr="009A19A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午餐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</w:p>
        </w:tc>
      </w:tr>
      <w:tr w:rsidR="00F91CBC" w:rsidRPr="009A19AA" w:rsidTr="003601C0">
        <w:trPr>
          <w:trHeight w:val="66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14:00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-14:40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BC" w:rsidRPr="00371949" w:rsidRDefault="00F91CBC" w:rsidP="003601C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6115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K-REACH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之最新進展、</w:t>
            </w:r>
            <w:r w:rsidRPr="0066115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執行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作法與聯合登錄執行現況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371949" w:rsidRDefault="00F91CBC" w:rsidP="003601C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64E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韓國化學品管理協會</w:t>
            </w:r>
          </w:p>
        </w:tc>
      </w:tr>
      <w:tr w:rsidR="00F91CBC" w:rsidRPr="009A19AA" w:rsidTr="003601C0">
        <w:trPr>
          <w:trHeight w:val="33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14:4</w:t>
            </w:r>
            <w:r w:rsidRPr="009A19AA">
              <w:rPr>
                <w:rFonts w:ascii="Times New Roman" w:hAnsi="Times New Roman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15:0</w:t>
            </w:r>
            <w:r w:rsidRPr="009A19AA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 w:rsidRPr="009A19A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中場茶敘交流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</w:p>
        </w:tc>
      </w:tr>
      <w:tr w:rsidR="00F91CBC" w:rsidRPr="009A19AA" w:rsidTr="003601C0">
        <w:trPr>
          <w:trHeight w:val="66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15:00-15:4</w:t>
            </w:r>
            <w:r w:rsidRPr="009A19AA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A19A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台灣化學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品登錄制度現況與未來展望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A19A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行政院環境保護署</w:t>
            </w:r>
          </w:p>
        </w:tc>
      </w:tr>
      <w:tr w:rsidR="00F91CBC" w:rsidRPr="009A19AA" w:rsidTr="003601C0">
        <w:trPr>
          <w:trHeight w:val="66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15</w:t>
            </w:r>
            <w:r w:rsidRPr="009A19AA">
              <w:rPr>
                <w:rFonts w:ascii="Times New Roman" w:hAnsi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40</w:t>
            </w:r>
            <w:r w:rsidRPr="009A19AA">
              <w:rPr>
                <w:rFonts w:ascii="Times New Roman" w:hAnsi="Times New Roman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6:30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A19A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綜合座談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BC" w:rsidRPr="009A19AA" w:rsidRDefault="00F91CBC" w:rsidP="003601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A19A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行政院環境保護署</w:t>
            </w:r>
            <w:r w:rsidRPr="009A19AA">
              <w:rPr>
                <w:rFonts w:ascii="Times New Roman" w:hAnsi="Times New Roman"/>
                <w:color w:val="000000"/>
                <w:kern w:val="0"/>
                <w:szCs w:val="24"/>
              </w:rPr>
              <w:t>/</w:t>
            </w:r>
            <w:r w:rsidRPr="009A19A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財團法人安全衛生技術中心</w:t>
            </w:r>
            <w:r w:rsidRPr="009A19AA">
              <w:rPr>
                <w:rFonts w:ascii="Times New Roman" w:hAnsi="Times New Roman"/>
                <w:color w:val="000000"/>
                <w:kern w:val="0"/>
                <w:szCs w:val="24"/>
              </w:rPr>
              <w:t>/</w:t>
            </w:r>
            <w:r w:rsidRPr="009A19A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國外講師</w:t>
            </w:r>
          </w:p>
        </w:tc>
      </w:tr>
    </w:tbl>
    <w:p w:rsidR="00F91CBC" w:rsidRPr="00F030D8" w:rsidRDefault="00F91CBC" w:rsidP="00F91CBC">
      <w:pPr>
        <w:rPr>
          <w:szCs w:val="24"/>
        </w:rPr>
      </w:pPr>
    </w:p>
    <w:p w:rsidR="00F91CBC" w:rsidRPr="005C4210" w:rsidRDefault="00F91CBC" w:rsidP="00F91CBC"/>
    <w:p w:rsidR="00F91CBC" w:rsidRPr="00F91CBC" w:rsidRDefault="00F91CBC"/>
    <w:sectPr w:rsidR="00F91CBC" w:rsidRPr="00F91C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96C1C"/>
    <w:multiLevelType w:val="hybridMultilevel"/>
    <w:tmpl w:val="54CEF4A2"/>
    <w:lvl w:ilvl="0" w:tplc="E4923E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9B4231"/>
    <w:multiLevelType w:val="hybridMultilevel"/>
    <w:tmpl w:val="87C05D5C"/>
    <w:lvl w:ilvl="0" w:tplc="E4923ECA">
      <w:start w:val="1"/>
      <w:numFmt w:val="bullet"/>
      <w:lvlText w:val=""/>
      <w:lvlJc w:val="left"/>
      <w:pPr>
        <w:ind w:left="4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5" w:hanging="480"/>
      </w:pPr>
      <w:rPr>
        <w:rFonts w:ascii="Wingdings" w:hAnsi="Wingdings" w:hint="default"/>
      </w:rPr>
    </w:lvl>
  </w:abstractNum>
  <w:abstractNum w:abstractNumId="2" w15:restartNumberingAfterBreak="0">
    <w:nsid w:val="6BEC7948"/>
    <w:multiLevelType w:val="hybridMultilevel"/>
    <w:tmpl w:val="2F6A57BC"/>
    <w:lvl w:ilvl="0" w:tplc="04090003">
      <w:start w:val="1"/>
      <w:numFmt w:val="bullet"/>
      <w:lvlText w:val=""/>
      <w:lvlJc w:val="left"/>
      <w:pPr>
        <w:ind w:left="4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7" w:hanging="480"/>
      </w:pPr>
      <w:rPr>
        <w:rFonts w:ascii="Wingdings" w:hAnsi="Wingdings" w:hint="default"/>
      </w:rPr>
    </w:lvl>
  </w:abstractNum>
  <w:abstractNum w:abstractNumId="3" w15:restartNumberingAfterBreak="0">
    <w:nsid w:val="70886175"/>
    <w:multiLevelType w:val="hybridMultilevel"/>
    <w:tmpl w:val="0D663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C"/>
    <w:rsid w:val="00163A47"/>
    <w:rsid w:val="00206879"/>
    <w:rsid w:val="008F741E"/>
    <w:rsid w:val="00A95977"/>
    <w:rsid w:val="00D01298"/>
    <w:rsid w:val="00F9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5C17B-DBD5-4B95-A41F-698F1561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範本-一標題"/>
    <w:rsid w:val="00F91CBC"/>
    <w:pPr>
      <w:spacing w:beforeLines="50" w:line="440" w:lineRule="exact"/>
      <w:ind w:leftChars="150" w:left="350" w:hangingChars="200" w:hanging="20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-0">
    <w:name w:val="範本-(一)標題"/>
    <w:rsid w:val="00F91CBC"/>
    <w:pPr>
      <w:spacing w:beforeLines="50" w:line="440" w:lineRule="exact"/>
      <w:ind w:leftChars="375" w:left="550" w:hangingChars="175" w:hanging="175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1">
    <w:name w:val="1.1文"/>
    <w:basedOn w:val="a"/>
    <w:link w:val="110"/>
    <w:uiPriority w:val="99"/>
    <w:rsid w:val="00F91CBC"/>
    <w:pPr>
      <w:kinsoku w:val="0"/>
      <w:adjustRightInd w:val="0"/>
      <w:snapToGrid w:val="0"/>
      <w:spacing w:line="440" w:lineRule="atLeast"/>
      <w:ind w:left="794" w:firstLine="567"/>
      <w:jc w:val="both"/>
      <w:textAlignment w:val="baseline"/>
    </w:pPr>
    <w:rPr>
      <w:rFonts w:ascii="Times New Roman" w:eastAsia="標楷體" w:hAnsi="Times New Roman" w:cs="Times New Roman"/>
      <w:spacing w:val="10"/>
      <w:sz w:val="26"/>
      <w:szCs w:val="26"/>
    </w:rPr>
  </w:style>
  <w:style w:type="character" w:customStyle="1" w:styleId="110">
    <w:name w:val="1.1文 字元"/>
    <w:basedOn w:val="a0"/>
    <w:link w:val="11"/>
    <w:uiPriority w:val="99"/>
    <w:locked/>
    <w:rsid w:val="00F91CBC"/>
    <w:rPr>
      <w:rFonts w:ascii="Times New Roman" w:eastAsia="標楷體" w:hAnsi="Times New Roman" w:cs="Times New Roman"/>
      <w:spacing w:val="10"/>
      <w:sz w:val="26"/>
      <w:szCs w:val="26"/>
    </w:rPr>
  </w:style>
  <w:style w:type="paragraph" w:customStyle="1" w:styleId="a3">
    <w:name w:val="一、"/>
    <w:basedOn w:val="a"/>
    <w:link w:val="a4"/>
    <w:uiPriority w:val="99"/>
    <w:rsid w:val="00F91CBC"/>
    <w:pPr>
      <w:kinsoku w:val="0"/>
      <w:adjustRightInd w:val="0"/>
      <w:snapToGrid w:val="0"/>
      <w:spacing w:line="440" w:lineRule="atLeast"/>
      <w:ind w:left="1288" w:hanging="567"/>
      <w:jc w:val="both"/>
      <w:textAlignment w:val="baseline"/>
    </w:pPr>
    <w:rPr>
      <w:rFonts w:ascii="Times New Roman" w:eastAsia="華康特粗楷體" w:hAnsi="Times New Roman" w:cs="Times New Roman"/>
      <w:color w:val="FF0000"/>
      <w:spacing w:val="10"/>
      <w:sz w:val="26"/>
      <w:szCs w:val="26"/>
      <w:u w:val="single"/>
    </w:rPr>
  </w:style>
  <w:style w:type="character" w:customStyle="1" w:styleId="a4">
    <w:name w:val="一、 字元"/>
    <w:basedOn w:val="a0"/>
    <w:link w:val="a3"/>
    <w:uiPriority w:val="99"/>
    <w:locked/>
    <w:rsid w:val="00F91CBC"/>
    <w:rPr>
      <w:rFonts w:ascii="Times New Roman" w:eastAsia="華康特粗楷體" w:hAnsi="Times New Roman" w:cs="Times New Roman"/>
      <w:color w:val="FF0000"/>
      <w:spacing w:val="10"/>
      <w:sz w:val="26"/>
      <w:szCs w:val="26"/>
      <w:u w:val="single"/>
    </w:rPr>
  </w:style>
  <w:style w:type="paragraph" w:customStyle="1" w:styleId="a5">
    <w:name w:val="表"/>
    <w:basedOn w:val="a"/>
    <w:link w:val="a6"/>
    <w:uiPriority w:val="99"/>
    <w:rsid w:val="00F91CBC"/>
    <w:pPr>
      <w:kinsoku w:val="0"/>
      <w:adjustRightInd w:val="0"/>
      <w:snapToGrid w:val="0"/>
      <w:spacing w:after="120" w:line="240" w:lineRule="atLeast"/>
      <w:jc w:val="center"/>
      <w:textAlignment w:val="baseline"/>
    </w:pPr>
    <w:rPr>
      <w:rFonts w:ascii="Times New Roman" w:eastAsia="華康特粗楷體" w:hAnsi="Times New Roman" w:cs="Times New Roman"/>
      <w:color w:val="000000"/>
      <w:spacing w:val="10"/>
      <w:sz w:val="28"/>
      <w:szCs w:val="28"/>
    </w:rPr>
  </w:style>
  <w:style w:type="character" w:customStyle="1" w:styleId="a6">
    <w:name w:val="表 字元"/>
    <w:basedOn w:val="a0"/>
    <w:link w:val="a5"/>
    <w:uiPriority w:val="99"/>
    <w:locked/>
    <w:rsid w:val="00F91CBC"/>
    <w:rPr>
      <w:rFonts w:ascii="Times New Roman" w:eastAsia="華康特粗楷體" w:hAnsi="Times New Roman" w:cs="Times New Roman"/>
      <w:color w:val="000000"/>
      <w:spacing w:val="1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91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1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林穎治</dc:creator>
  <cp:lastModifiedBy>黃俊彥</cp:lastModifiedBy>
  <cp:revision>2</cp:revision>
  <cp:lastPrinted>2016-10-19T12:33:00Z</cp:lastPrinted>
  <dcterms:created xsi:type="dcterms:W3CDTF">2016-10-26T02:31:00Z</dcterms:created>
  <dcterms:modified xsi:type="dcterms:W3CDTF">2016-10-26T02:31:00Z</dcterms:modified>
</cp:coreProperties>
</file>