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67" w:rsidRPr="00C644CB" w:rsidRDefault="001E5167" w:rsidP="00666229">
      <w:pPr>
        <w:widowControl/>
        <w:snapToGrid w:val="0"/>
        <w:spacing w:line="360" w:lineRule="atLeast"/>
        <w:rPr>
          <w:rFonts w:ascii="標楷體" w:eastAsia="標楷體" w:hAnsi="標楷體"/>
          <w:b/>
          <w:bCs/>
        </w:rPr>
      </w:pPr>
      <w:r w:rsidRPr="00F475F4">
        <w:rPr>
          <w:rFonts w:ascii="標楷體" w:eastAsia="標楷體" w:hAnsi="標楷體" w:hint="eastAsia"/>
          <w:b/>
          <w:bCs/>
        </w:rPr>
        <w:t>《</w:t>
      </w:r>
      <w:bookmarkStart w:id="0" w:name="總務處附件一"/>
      <w:r>
        <w:rPr>
          <w:rFonts w:ascii="標楷體" w:eastAsia="標楷體" w:hAnsi="標楷體" w:hint="eastAsia"/>
          <w:b/>
          <w:bCs/>
        </w:rPr>
        <w:t>總務處附件一</w:t>
      </w:r>
      <w:bookmarkEnd w:id="0"/>
      <w:r w:rsidRPr="00F475F4">
        <w:rPr>
          <w:rFonts w:ascii="標楷體" w:eastAsia="標楷體" w:hAnsi="標楷體" w:hint="eastAsia"/>
          <w:b/>
          <w:bCs/>
        </w:rPr>
        <w:t>》</w:t>
      </w:r>
    </w:p>
    <w:p w:rsidR="001E5167" w:rsidRPr="00F62ED3" w:rsidRDefault="001E5167" w:rsidP="0066622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F62ED3">
        <w:rPr>
          <w:rFonts w:ascii="標楷體" w:eastAsia="標楷體" w:hAnsi="標楷體" w:cs="DFKaiShu-SB-Estd-BF" w:hint="eastAsia"/>
          <w:kern w:val="0"/>
          <w:sz w:val="40"/>
          <w:szCs w:val="40"/>
        </w:rPr>
        <w:t>馬偕醫學院防颱小組作業要點</w:t>
      </w:r>
    </w:p>
    <w:p w:rsidR="001E5167" w:rsidRPr="00CE1751" w:rsidRDefault="001E5167" w:rsidP="00F40BB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hd w:val="pct15" w:color="auto" w:fill="FFFFFF"/>
        </w:rPr>
      </w:pPr>
      <w:r w:rsidRPr="00CE1751">
        <w:rPr>
          <w:rFonts w:ascii="標楷體" w:eastAsia="標楷體" w:hAnsi="標楷體"/>
          <w:kern w:val="0"/>
        </w:rPr>
        <w:t xml:space="preserve">102 </w:t>
      </w:r>
      <w:r w:rsidRPr="00CE1751">
        <w:rPr>
          <w:rFonts w:ascii="標楷體" w:eastAsia="標楷體" w:hAnsi="標楷體" w:cs="DFKaiShu-SB-Estd-BF" w:hint="eastAsia"/>
          <w:kern w:val="0"/>
        </w:rPr>
        <w:t>年</w:t>
      </w:r>
      <w:r w:rsidRPr="00CE1751"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/>
          <w:kern w:val="0"/>
        </w:rPr>
        <w:t>8</w:t>
      </w:r>
      <w:r w:rsidRPr="00CE1751">
        <w:rPr>
          <w:rFonts w:ascii="標楷體" w:eastAsia="標楷體" w:hAnsi="標楷體"/>
          <w:kern w:val="0"/>
        </w:rPr>
        <w:t xml:space="preserve"> </w:t>
      </w:r>
      <w:r w:rsidRPr="00CE1751">
        <w:rPr>
          <w:rFonts w:ascii="標楷體" w:eastAsia="標楷體" w:hAnsi="標楷體" w:cs="DFKaiShu-SB-Estd-BF" w:hint="eastAsia"/>
          <w:kern w:val="0"/>
        </w:rPr>
        <w:t>月</w:t>
      </w:r>
      <w:r w:rsidRPr="00CE1751">
        <w:rPr>
          <w:rFonts w:ascii="標楷體" w:eastAsia="標楷體" w:hAnsi="標楷體" w:cs="DFKaiShu-SB-Estd-BF"/>
          <w:kern w:val="0"/>
        </w:rPr>
        <w:t xml:space="preserve"> </w:t>
      </w:r>
      <w:r>
        <w:rPr>
          <w:rFonts w:ascii="標楷體" w:eastAsia="標楷體" w:hAnsi="標楷體" w:cs="DFKaiShu-SB-Estd-BF"/>
          <w:kern w:val="0"/>
        </w:rPr>
        <w:t>14</w:t>
      </w:r>
      <w:r w:rsidRPr="00CE1751">
        <w:rPr>
          <w:rFonts w:ascii="標楷體" w:eastAsia="標楷體" w:hAnsi="標楷體" w:cs="DFKaiShu-SB-Estd-BF"/>
          <w:kern w:val="0"/>
        </w:rPr>
        <w:t xml:space="preserve"> </w:t>
      </w:r>
      <w:r w:rsidRPr="00CE1751">
        <w:rPr>
          <w:rFonts w:ascii="標楷體" w:eastAsia="標楷體" w:hAnsi="標楷體" w:cs="DFKaiShu-SB-Estd-BF" w:hint="eastAsia"/>
          <w:kern w:val="0"/>
        </w:rPr>
        <w:t>日行政主管會議通過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一、目的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為於颱風來襲時適時採取適當而有效之措施，藉以維護校區人員及財產之安全，特訂定馬偕醫學院防颱小組作業要點（以下簡稱本要點）。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二、防颱小組成員之遴選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防颱小組（以下簡稱本小組）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召集人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為</w:t>
      </w:r>
      <w:r w:rsidRPr="00BD160A">
        <w:rPr>
          <w:rFonts w:ascii="標楷體" w:eastAsia="標楷體" w:hAnsi="標楷體" w:cs="DFKaiShu-SB-Estd-BF" w:hint="eastAsia"/>
          <w:kern w:val="0"/>
          <w:sz w:val="28"/>
          <w:szCs w:val="28"/>
        </w:rPr>
        <w:t>校長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，副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召集人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為總務長，小組成員由本校職員中</w:t>
      </w:r>
      <w:proofErr w:type="gramStart"/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遴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派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，簽請校長核定後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委派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之。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三、防颱小組編制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防颱小組成員，由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總務處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參酌行政單位、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中心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、系、所之組織及位置編列為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任務編組，任務編組並設置小組長一人，於颱風來襲時，進駐防颱中心值勤，負責本校防颱之各項應變及必要之救災措施，防颱小組編制如附表。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四、防颱小組進駐時機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遇有颱風警報發佈時，防颱小組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召集人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參酌政府權責機關停止上班上課之情形或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三芝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地區風雨狀況決定進駐時點，並由環安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組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聯繫</w:t>
      </w:r>
      <w:r w:rsidRPr="00AC54B0">
        <w:rPr>
          <w:rFonts w:ascii="標楷體" w:eastAsia="標楷體" w:hAnsi="標楷體" w:cs="DFKaiShu-SB-Estd-BF" w:hint="eastAsia"/>
          <w:kern w:val="0"/>
          <w:sz w:val="28"/>
          <w:szCs w:val="28"/>
        </w:rPr>
        <w:t>任務編組成員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進駐防颱中心，執行防颱事宜，並於颱風警報解除後歸建。防颱中心位置設於</w:t>
      </w:r>
      <w:r w:rsidRPr="007B378B">
        <w:rPr>
          <w:rFonts w:ascii="標楷體" w:eastAsia="標楷體" w:hAnsi="標楷體" w:cs="DFKaiShu-SB-Estd-BF" w:hint="eastAsia"/>
          <w:kern w:val="0"/>
          <w:sz w:val="28"/>
          <w:szCs w:val="28"/>
        </w:rPr>
        <w:t>教學大樓五樓總務處會議室</w:t>
      </w:r>
      <w:r w:rsidRPr="00AC54B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B378B">
        <w:rPr>
          <w:rFonts w:ascii="標楷體" w:eastAsia="標楷體" w:hAnsi="標楷體" w:cs="DFKaiShu-SB-Estd-BF" w:hint="eastAsia"/>
          <w:kern w:val="0"/>
          <w:sz w:val="28"/>
          <w:szCs w:val="28"/>
        </w:rPr>
        <w:t>專線電話：</w:t>
      </w:r>
      <w:r w:rsidRPr="00AC54B0">
        <w:rPr>
          <w:rFonts w:ascii="標楷體" w:eastAsia="標楷體" w:hAnsi="標楷體" w:cs="DFKaiShu-SB-Estd-BF"/>
          <w:kern w:val="0"/>
          <w:sz w:val="28"/>
          <w:szCs w:val="28"/>
        </w:rPr>
        <w:t>26360303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1193</w:t>
      </w:r>
      <w:proofErr w:type="gramStart"/>
      <w:r w:rsidRPr="007B378B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proofErr w:type="gramEnd"/>
      <w:r w:rsidRPr="007B378B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五、單位防颱準備措施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颱風警報發布時，環安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組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應聯繫各行政單位、</w:t>
      </w:r>
      <w:r w:rsidRPr="000E6FB5">
        <w:rPr>
          <w:rFonts w:ascii="標楷體" w:eastAsia="標楷體" w:hAnsi="標楷體" w:cs="DFKaiShu-SB-Estd-BF" w:hint="eastAsia"/>
          <w:kern w:val="0"/>
          <w:sz w:val="28"/>
          <w:szCs w:val="28"/>
        </w:rPr>
        <w:t>中心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、系、所負責人員就單位所在位置預為下列事項之檢查，如發現有足以危害安全之缺失時，應立即予以排除。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1559" w:rightChars="103" w:right="247" w:hangingChars="304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（一）清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除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各樓樓頂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阻礙排水雜物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，關閉各樓門窗，關妥樓頂安全門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，拔除各辦公室電器用品插頭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（二）暢通排水系統（含各樓頂排水孔、水溝）。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（三）檢查其他足以危害人員、財產安全事項。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六、防颱小組任務編組職責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防颱小組於進駐防颱中心後，依下列狀況，分別採取防護措施與處置：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4" w:left="1557" w:rightChars="103" w:right="247" w:hangingChars="304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（一）依第五點規定，確認各行政單位、</w:t>
      </w:r>
      <w:r w:rsidRPr="000E6FB5">
        <w:rPr>
          <w:rFonts w:ascii="標楷體" w:eastAsia="標楷體" w:hAnsi="標楷體" w:cs="DFKaiShu-SB-Estd-BF" w:hint="eastAsia"/>
          <w:kern w:val="0"/>
          <w:sz w:val="28"/>
          <w:szCs w:val="28"/>
        </w:rPr>
        <w:t>中心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、系、所負責人員之防颱措施是否確實實施。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4" w:left="1557" w:rightChars="103" w:right="247" w:hangingChars="304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（二）隨時收聽（看）各媒體報導颱風來襲消息，藉以了解颱風動態。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4" w:left="1557" w:rightChars="103" w:right="247" w:hangingChars="304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（三）颱風來襲時，在確保人員之安全情形下，不定時檢查下列地點有無積水或危害設備之情形，必要時得加以排除。</w:t>
      </w:r>
    </w:p>
    <w:p w:rsidR="001E5167" w:rsidRPr="006939F6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 w:firstLineChars="350" w:firstLine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C54B0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Pr="006939F6">
        <w:rPr>
          <w:rFonts w:ascii="標楷體" w:eastAsia="標楷體" w:hAnsi="標楷體" w:cs="DFKaiShu-SB-Estd-BF" w:hint="eastAsia"/>
          <w:kern w:val="0"/>
          <w:sz w:val="28"/>
          <w:szCs w:val="28"/>
        </w:rPr>
        <w:t>資訊中心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Pr="006939F6">
        <w:rPr>
          <w:rFonts w:ascii="標楷體" w:eastAsia="標楷體" w:hAnsi="標楷體" w:cs="DFKaiShu-SB-Estd-BF" w:hint="eastAsia"/>
          <w:kern w:val="0"/>
          <w:sz w:val="28"/>
          <w:szCs w:val="28"/>
        </w:rPr>
        <w:t>圖書館一樓。</w:t>
      </w:r>
    </w:p>
    <w:p w:rsidR="001E5167" w:rsidRPr="006939F6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 w:firstLineChars="350" w:firstLine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C54B0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AC54B0">
        <w:rPr>
          <w:rFonts w:ascii="標楷體" w:eastAsia="標楷體" w:hAnsi="標楷體" w:cs="DFKaiShu-SB-Estd-BF" w:hint="eastAsia"/>
          <w:kern w:val="0"/>
          <w:sz w:val="28"/>
          <w:szCs w:val="28"/>
        </w:rPr>
        <w:t>所有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地下</w:t>
      </w:r>
      <w:r w:rsidRPr="006939F6">
        <w:rPr>
          <w:rFonts w:ascii="標楷體" w:eastAsia="標楷體" w:hAnsi="標楷體" w:cs="DFKaiShu-SB-Estd-BF" w:hint="eastAsia"/>
          <w:kern w:val="0"/>
          <w:sz w:val="28"/>
          <w:szCs w:val="28"/>
        </w:rPr>
        <w:t>室。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1688" w:rightChars="103" w:right="247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（四）</w:t>
      </w:r>
      <w:proofErr w:type="gramStart"/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Pr="00E55544">
        <w:rPr>
          <w:rFonts w:ascii="標楷體" w:eastAsia="標楷體" w:hAnsi="標楷體" w:cs="DFKaiShu-SB-Estd-BF" w:hint="eastAsia"/>
          <w:kern w:val="0"/>
          <w:sz w:val="28"/>
          <w:szCs w:val="28"/>
        </w:rPr>
        <w:t>校安中心</w:t>
      </w:r>
      <w:proofErr w:type="gramEnd"/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學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生宿舍值勤人員保持聯繫，掌握學生安全狀況。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4" w:left="1557" w:rightChars="103" w:right="247" w:hangingChars="304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（五）颱風警報解除後，任務小組負責人應就颱風災情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統計書面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報告</w:t>
      </w:r>
      <w:r w:rsidRPr="00AC54B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含照片</w:t>
      </w:r>
      <w:r w:rsidRPr="00AC54B0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proofErr w:type="gramStart"/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送環安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組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轉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總務長後，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陳校長核</w:t>
      </w:r>
      <w:proofErr w:type="gramStart"/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閱</w:t>
      </w:r>
      <w:proofErr w:type="gramEnd"/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七、防颱演練事宜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708" w:rightChars="103" w:right="24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本小組由</w:t>
      </w:r>
      <w:r w:rsidRPr="004D639F">
        <w:rPr>
          <w:rFonts w:ascii="標楷體" w:eastAsia="標楷體" w:hAnsi="標楷體" w:cs="DFKaiShu-SB-Estd-BF" w:hint="eastAsia"/>
          <w:kern w:val="0"/>
          <w:sz w:val="28"/>
          <w:szCs w:val="28"/>
        </w:rPr>
        <w:t>環安組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定期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召集成員演練各項防颱事宜，小組成員務必出席，包括下列各事項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1688" w:rightChars="103" w:right="247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（一）相關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故障排除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1688" w:rightChars="103" w:right="247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（二）盤點本校防災人力、設備及堪用狀態之確認。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1688" w:rightChars="103" w:right="247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（三）救災設備（緊急發電機、抽水馬達、個人裝備）之操作練習。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1688" w:rightChars="103" w:right="247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（四）本校重要地點之檢查。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八、其他</w:t>
      </w:r>
    </w:p>
    <w:p w:rsidR="001E5167" w:rsidRPr="00937EE7" w:rsidRDefault="001E5167" w:rsidP="00666229">
      <w:pPr>
        <w:autoSpaceDE w:val="0"/>
        <w:autoSpaceDN w:val="0"/>
        <w:adjustRightInd w:val="0"/>
        <w:spacing w:line="400" w:lineRule="exact"/>
        <w:ind w:leftChars="294" w:left="1557" w:rightChars="103" w:right="247" w:hangingChars="304" w:hanging="851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（一）總務處應為防颱小組成員辦理</w:t>
      </w:r>
      <w:r w:rsidRPr="00937EE7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意外保險，保險費由相關費用項下支出。</w:t>
      </w:r>
      <w:bookmarkStart w:id="1" w:name="_GoBack"/>
      <w:bookmarkEnd w:id="1"/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4" w:left="1557" w:rightChars="103" w:right="247" w:hangingChars="304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（二）防颱小組成員進駐防颱中心應簽到、簽退，如無法值勤應自行覓妥代理人，無故未進駐者以曠職論，並依規定懲處。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4" w:left="1557" w:rightChars="103" w:right="247" w:hangingChars="304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（三）防颱小組成員自進駐防颱中心時起，核實報支加班費或給予補休。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4" w:left="1557" w:rightChars="103" w:right="247" w:hangingChars="304" w:hanging="851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（四）防颱小組對發生之事故，宜作適當處理外，對不能處理之重大事故，應依事故之性質，立即</w:t>
      </w:r>
      <w:r w:rsidRPr="00473CF2">
        <w:rPr>
          <w:rFonts w:ascii="標楷體" w:eastAsia="標楷體" w:hAnsi="標楷體" w:cs="DFKaiShu-SB-Estd-BF" w:hint="eastAsia"/>
          <w:kern w:val="0"/>
          <w:sz w:val="28"/>
          <w:szCs w:val="28"/>
        </w:rPr>
        <w:t>通報相關單位或人員，請求協助處理。同時立即向校長報告，並通知與事故有關人員。</w:t>
      </w:r>
    </w:p>
    <w:p w:rsidR="001E5167" w:rsidRPr="00CB1392" w:rsidRDefault="001E5167" w:rsidP="00666229">
      <w:pPr>
        <w:autoSpaceDE w:val="0"/>
        <w:autoSpaceDN w:val="0"/>
        <w:adjustRightInd w:val="0"/>
        <w:spacing w:line="400" w:lineRule="exact"/>
        <w:ind w:leftChars="295" w:left="1688" w:rightChars="103" w:right="247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（五）防颱小組進駐防颱中心必要之食宿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及安全裝備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，由總務處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協助辦理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E5167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九、本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要點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經行政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主管</w:t>
      </w:r>
      <w:r w:rsidRPr="00CB1392">
        <w:rPr>
          <w:rFonts w:ascii="標楷體" w:eastAsia="標楷體" w:hAnsi="標楷體" w:cs="DFKaiShu-SB-Estd-BF" w:hint="eastAsia"/>
          <w:kern w:val="0"/>
          <w:sz w:val="28"/>
          <w:szCs w:val="28"/>
        </w:rPr>
        <w:t>會議通過</w:t>
      </w:r>
      <w:r w:rsidRPr="001747F5">
        <w:rPr>
          <w:rFonts w:ascii="標楷體" w:eastAsia="標楷體" w:hAnsi="標楷體" w:cs="DFKaiShu-SB-Estd-BF" w:hint="eastAsia"/>
          <w:kern w:val="0"/>
          <w:sz w:val="28"/>
          <w:szCs w:val="28"/>
        </w:rPr>
        <w:t>後施行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1747F5">
        <w:rPr>
          <w:rFonts w:ascii="標楷體" w:eastAsia="標楷體" w:hAnsi="標楷體" w:cs="DFKaiShu-SB-Estd-BF" w:hint="eastAsia"/>
          <w:kern w:val="0"/>
          <w:sz w:val="28"/>
          <w:szCs w:val="28"/>
        </w:rPr>
        <w:t>修正時亦同。</w:t>
      </w:r>
    </w:p>
    <w:p w:rsidR="001E5167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E5167" w:rsidRDefault="001E5167" w:rsidP="0066622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8E3B51">
        <w:rPr>
          <w:rFonts w:ascii="標楷體" w:eastAsia="標楷體" w:hAnsi="標楷體" w:cs="DFKaiShu-SB-Estd-BF" w:hint="eastAsia"/>
          <w:kern w:val="0"/>
          <w:sz w:val="28"/>
          <w:szCs w:val="28"/>
        </w:rPr>
        <w:t>附表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8E3B51">
        <w:rPr>
          <w:rFonts w:ascii="標楷體" w:eastAsia="標楷體" w:hAnsi="標楷體" w:cs="DFKaiShu-SB-Estd-BF" w:hint="eastAsia"/>
          <w:kern w:val="0"/>
          <w:sz w:val="28"/>
          <w:szCs w:val="28"/>
        </w:rPr>
        <w:t>防颱小組</w:t>
      </w:r>
      <w:r w:rsidRPr="003E2CE7">
        <w:rPr>
          <w:rFonts w:ascii="標楷體" w:eastAsia="標楷體" w:hAnsi="標楷體" w:cs="DFKaiShu-SB-Estd-BF" w:hint="eastAsia"/>
          <w:kern w:val="0"/>
          <w:sz w:val="28"/>
          <w:szCs w:val="28"/>
        </w:rPr>
        <w:t>任務編組成員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每梯次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名，由各單位</w:t>
      </w:r>
      <w:r w:rsidRPr="00E93EE5">
        <w:rPr>
          <w:rFonts w:ascii="標楷體" w:eastAsia="標楷體" w:hAnsi="標楷體" w:cs="DFKaiShu-SB-Estd-BF" w:hint="eastAsia"/>
          <w:kern w:val="0"/>
          <w:sz w:val="28"/>
          <w:szCs w:val="28"/>
        </w:rPr>
        <w:t>職員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輪流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125"/>
        <w:gridCol w:w="2151"/>
        <w:gridCol w:w="2125"/>
      </w:tblGrid>
      <w:tr w:rsidR="001E5167" w:rsidRPr="004206B0" w:rsidTr="006E5F0A">
        <w:trPr>
          <w:trHeight w:val="1217"/>
        </w:trPr>
        <w:tc>
          <w:tcPr>
            <w:tcW w:w="2486" w:type="dxa"/>
          </w:tcPr>
          <w:p w:rsidR="001E5167" w:rsidRPr="004206B0" w:rsidRDefault="00A529D1" w:rsidP="004206B0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6350</wp:posOffset>
                      </wp:positionV>
                      <wp:extent cx="1328420" cy="756285"/>
                      <wp:effectExtent l="10795" t="6350" r="13335" b="8890"/>
                      <wp:wrapNone/>
                      <wp:docPr id="1" name="__TH_G21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8420" cy="756285"/>
                                <a:chOff x="1697" y="3050"/>
                                <a:chExt cx="2092" cy="1367"/>
                              </a:xfrm>
                            </wpg:grpSpPr>
                            <wps:wsp>
                              <wps:cNvPr id="2" name="__TH_L5"/>
                              <wps:cNvCnPr/>
                              <wps:spPr bwMode="auto">
                                <a:xfrm>
                                  <a:off x="2743" y="3050"/>
                                  <a:ext cx="1046" cy="13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6"/>
                              <wps:cNvCnPr/>
                              <wps:spPr bwMode="auto">
                                <a:xfrm>
                                  <a:off x="1697" y="3734"/>
                                  <a:ext cx="2092" cy="6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0" y="3273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167" w:rsidRPr="00F40BB5" w:rsidRDefault="001E5167" w:rsidP="00F40BB5">
                                    <w:pPr>
                                      <w:snapToGrid w:val="0"/>
                                      <w:spacing w:line="20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F40BB5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6" y="376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167" w:rsidRPr="00F40BB5" w:rsidRDefault="001E5167" w:rsidP="00F40BB5">
                                    <w:pPr>
                                      <w:snapToGrid w:val="0"/>
                                      <w:spacing w:line="20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F40BB5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" y="3313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167" w:rsidRPr="00F40BB5" w:rsidRDefault="001E5167" w:rsidP="00F40BB5">
                                    <w:pPr>
                                      <w:snapToGrid w:val="0"/>
                                      <w:spacing w:line="20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F40BB5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7" y="3878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167" w:rsidRPr="00F40BB5" w:rsidRDefault="001E5167" w:rsidP="00F40BB5">
                                    <w:pPr>
                                      <w:snapToGrid w:val="0"/>
                                      <w:spacing w:line="20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F40BB5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8" y="4051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167" w:rsidRPr="00F40BB5" w:rsidRDefault="001E5167" w:rsidP="00F40BB5">
                                    <w:pPr>
                                      <w:snapToGrid w:val="0"/>
                                      <w:spacing w:line="20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F40BB5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梯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9" y="417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167" w:rsidRPr="00F40BB5" w:rsidRDefault="001E5167" w:rsidP="00F40BB5">
                                    <w:pPr>
                                      <w:snapToGrid w:val="0"/>
                                      <w:spacing w:line="20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F40BB5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21813" o:spid="_x0000_s1026" style="position:absolute;left:0;text-align:left;margin-left:-5.15pt;margin-top:.5pt;width:104.6pt;height:59.55pt;z-index:251658240" coordorigin="1697,3050" coordsize="2092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">
                      <v:line id="__TH_L5" o:spid="_x0000_s1027" style="position:absolute;visibility:visible;mso-wrap-style:square" from="2743,3050" to="3789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6" o:spid="_x0000_s1028" style="position:absolute;visibility:visible;mso-wrap-style:square" from="1697,3734" to="3789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7" o:spid="_x0000_s1029" type="#_x0000_t202" style="position:absolute;left:3310;top:327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1E5167" w:rsidRPr="00F40BB5" w:rsidRDefault="001E5167" w:rsidP="00F40BB5">
                              <w:pPr>
                                <w:snapToGrid w:val="0"/>
                                <w:spacing w:line="20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40B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  <v:shape id="__TH_B128" o:spid="_x0000_s1030" type="#_x0000_t202" style="position:absolute;left:3496;top:376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1E5167" w:rsidRPr="00F40BB5" w:rsidRDefault="001E5167" w:rsidP="00F40BB5">
                              <w:pPr>
                                <w:snapToGrid w:val="0"/>
                                <w:spacing w:line="20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40B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位</w:t>
                              </w:r>
                            </w:p>
                          </w:txbxContent>
                        </v:textbox>
                      </v:shape>
                      <v:shape id="__TH_B219" o:spid="_x0000_s1031" type="#_x0000_t202" style="position:absolute;left:2172;top:331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1E5167" w:rsidRPr="00F40BB5" w:rsidRDefault="001E5167" w:rsidP="00F40BB5">
                              <w:pPr>
                                <w:snapToGrid w:val="0"/>
                                <w:spacing w:line="20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40B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人</w:t>
                              </w:r>
                            </w:p>
                          </w:txbxContent>
                        </v:textbox>
                      </v:shape>
                      <v:shape id="__TH_B2210" o:spid="_x0000_s1032" type="#_x0000_t202" style="position:absolute;left:3037;top:3878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1E5167" w:rsidRPr="00F40BB5" w:rsidRDefault="001E5167" w:rsidP="00F40BB5">
                              <w:pPr>
                                <w:snapToGrid w:val="0"/>
                                <w:spacing w:line="20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40B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數</w:t>
                              </w:r>
                            </w:p>
                          </w:txbxContent>
                        </v:textbox>
                      </v:shape>
                      <v:shape id="__TH_B3111" o:spid="_x0000_s1033" type="#_x0000_t202" style="position:absolute;left:2078;top:4051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1E5167" w:rsidRPr="00F40BB5" w:rsidRDefault="001E5167" w:rsidP="00F40BB5">
                              <w:pPr>
                                <w:snapToGrid w:val="0"/>
                                <w:spacing w:line="20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40B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梯</w:t>
                              </w:r>
                            </w:p>
                          </w:txbxContent>
                        </v:textbox>
                      </v:shape>
                      <v:shape id="__TH_B3212" o:spid="_x0000_s1034" type="#_x0000_t202" style="position:absolute;left:2839;top:4175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1E5167" w:rsidRPr="00F40BB5" w:rsidRDefault="001E5167" w:rsidP="00F40BB5">
                              <w:pPr>
                                <w:snapToGrid w:val="0"/>
                                <w:spacing w:line="20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40BB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92" w:type="dxa"/>
            <w:vAlign w:val="center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資訊中心</w:t>
            </w:r>
          </w:p>
        </w:tc>
        <w:tc>
          <w:tcPr>
            <w:tcW w:w="2492" w:type="dxa"/>
            <w:vAlign w:val="center"/>
          </w:tcPr>
          <w:p w:rsidR="001E5167" w:rsidRPr="004206B0" w:rsidRDefault="001E5167" w:rsidP="006E5F0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總務處</w:t>
            </w: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其中</w:t>
            </w: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名為梯次小組長</w:t>
            </w: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2492" w:type="dxa"/>
            <w:vAlign w:val="center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proofErr w:type="gramStart"/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務</w:t>
            </w:r>
            <w:proofErr w:type="gramEnd"/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處</w:t>
            </w:r>
          </w:p>
        </w:tc>
      </w:tr>
      <w:tr w:rsidR="001E5167" w:rsidRPr="004206B0" w:rsidTr="00DF3108">
        <w:tc>
          <w:tcPr>
            <w:tcW w:w="2486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梯次</w:t>
            </w: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492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492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</w:t>
            </w:r>
          </w:p>
        </w:tc>
      </w:tr>
      <w:tr w:rsidR="001E5167" w:rsidRPr="004206B0" w:rsidTr="00DF3108">
        <w:tc>
          <w:tcPr>
            <w:tcW w:w="2486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梯次</w:t>
            </w: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</w:p>
        </w:tc>
        <w:tc>
          <w:tcPr>
            <w:tcW w:w="2492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492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492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206B0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4206B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</w:t>
            </w:r>
          </w:p>
        </w:tc>
      </w:tr>
      <w:tr w:rsidR="001E5167" w:rsidRPr="004206B0" w:rsidTr="00DF3108">
        <w:tc>
          <w:tcPr>
            <w:tcW w:w="2486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92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92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492" w:type="dxa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1E5167" w:rsidRPr="004206B0" w:rsidTr="00DF3108">
        <w:trPr>
          <w:trHeight w:val="1378"/>
        </w:trPr>
        <w:tc>
          <w:tcPr>
            <w:tcW w:w="9962" w:type="dxa"/>
            <w:gridSpan w:val="4"/>
          </w:tcPr>
          <w:p w:rsidR="001E5167" w:rsidRPr="004206B0" w:rsidRDefault="001E5167" w:rsidP="00DF310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1E5167" w:rsidRDefault="001E5167"/>
    <w:sectPr w:rsidR="001E5167" w:rsidSect="00C339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6A" w:rsidRDefault="00EB626A" w:rsidP="004206B0">
      <w:r>
        <w:separator/>
      </w:r>
    </w:p>
  </w:endnote>
  <w:endnote w:type="continuationSeparator" w:id="0">
    <w:p w:rsidR="00EB626A" w:rsidRDefault="00EB626A" w:rsidP="0042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6A" w:rsidRDefault="00EB626A" w:rsidP="004206B0">
      <w:r>
        <w:separator/>
      </w:r>
    </w:p>
  </w:footnote>
  <w:footnote w:type="continuationSeparator" w:id="0">
    <w:p w:rsidR="00EB626A" w:rsidRDefault="00EB626A" w:rsidP="0042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29"/>
    <w:rsid w:val="000E6FB5"/>
    <w:rsid w:val="001747F5"/>
    <w:rsid w:val="001E5167"/>
    <w:rsid w:val="001F4775"/>
    <w:rsid w:val="003E2CE7"/>
    <w:rsid w:val="004206B0"/>
    <w:rsid w:val="00473CF2"/>
    <w:rsid w:val="004C2EE3"/>
    <w:rsid w:val="004D639F"/>
    <w:rsid w:val="00666229"/>
    <w:rsid w:val="006939F6"/>
    <w:rsid w:val="006E5F0A"/>
    <w:rsid w:val="006F5EBB"/>
    <w:rsid w:val="007B378B"/>
    <w:rsid w:val="007C0C59"/>
    <w:rsid w:val="00841B39"/>
    <w:rsid w:val="008E3B51"/>
    <w:rsid w:val="00937EE7"/>
    <w:rsid w:val="00A529D1"/>
    <w:rsid w:val="00AC54B0"/>
    <w:rsid w:val="00BD160A"/>
    <w:rsid w:val="00C3397D"/>
    <w:rsid w:val="00C644CB"/>
    <w:rsid w:val="00CB1392"/>
    <w:rsid w:val="00CE1751"/>
    <w:rsid w:val="00D44A6D"/>
    <w:rsid w:val="00DF3108"/>
    <w:rsid w:val="00E55544"/>
    <w:rsid w:val="00E93EE5"/>
    <w:rsid w:val="00EB626A"/>
    <w:rsid w:val="00F40BB5"/>
    <w:rsid w:val="00F475F4"/>
    <w:rsid w:val="00F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206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2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206B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206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2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206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《總務處附件一》</dc:title>
  <dc:subject/>
  <dc:creator>Satallite</dc:creator>
  <cp:keywords/>
  <dc:description/>
  <cp:lastModifiedBy>羅春雨</cp:lastModifiedBy>
  <cp:revision>3</cp:revision>
  <cp:lastPrinted>2013-08-14T08:44:00Z</cp:lastPrinted>
  <dcterms:created xsi:type="dcterms:W3CDTF">2013-08-15T00:04:00Z</dcterms:created>
  <dcterms:modified xsi:type="dcterms:W3CDTF">2013-08-29T00:31:00Z</dcterms:modified>
</cp:coreProperties>
</file>