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ED" w:rsidRDefault="006E47ED">
      <w:pPr>
        <w:rPr>
          <w:rFonts w:hint="eastAsia"/>
        </w:rPr>
      </w:pPr>
      <w:bookmarkStart w:id="0" w:name="_GoBack"/>
      <w:bookmarkEnd w:id="0"/>
    </w:p>
    <w:p w:rsidR="004D2A4A" w:rsidRPr="004D2A4A" w:rsidRDefault="004D2A4A" w:rsidP="004D2A4A">
      <w:pPr>
        <w:widowControl/>
        <w:wordWrap w:val="0"/>
        <w:spacing w:line="360" w:lineRule="atLeast"/>
        <w:rPr>
          <w:rFonts w:ascii="新細明體" w:hAnsi="新細明體" w:cs="新細明體"/>
          <w:color w:val="37B7FF"/>
          <w:kern w:val="0"/>
        </w:rPr>
      </w:pPr>
      <w:r w:rsidRPr="004D2A4A">
        <w:rPr>
          <w:rFonts w:ascii="標楷體" w:eastAsia="標楷體" w:hAnsi="標楷體" w:cs="新細明體" w:hint="eastAsia"/>
          <w:color w:val="37B7FF"/>
          <w:kern w:val="0"/>
        </w:rPr>
        <w:t>100年11月23</w:t>
      </w:r>
      <w:r w:rsidRPr="004D2A4A">
        <w:rPr>
          <w:rFonts w:ascii="標楷體" w:eastAsia="標楷體" w:hAnsi="標楷體" w:cs="新細明體" w:hint="eastAsia"/>
          <w:color w:val="37B7FF"/>
          <w:kern w:val="0"/>
          <w:sz w:val="36"/>
          <w:szCs w:val="36"/>
        </w:rPr>
        <w:t>室內空氣品質管理法</w:t>
      </w:r>
    </w:p>
    <w:p w:rsidR="004D2A4A" w:rsidRPr="004D2A4A" w:rsidRDefault="004D2A4A" w:rsidP="004D2A4A">
      <w:pPr>
        <w:widowControl/>
        <w:wordWrap w:val="0"/>
        <w:spacing w:line="360" w:lineRule="atLeast"/>
        <w:jc w:val="right"/>
        <w:rPr>
          <w:rFonts w:ascii="新細明體" w:hAnsi="新細明體" w:cs="新細明體"/>
          <w:color w:val="37B7FF"/>
          <w:kern w:val="0"/>
        </w:rPr>
      </w:pPr>
      <w:r w:rsidRPr="004D2A4A">
        <w:rPr>
          <w:rFonts w:ascii="標楷體" w:eastAsia="標楷體" w:hAnsi="標楷體" w:cs="新細明體" w:hint="eastAsia"/>
          <w:color w:val="37B7FF"/>
          <w:kern w:val="0"/>
        </w:rPr>
        <w:t>中華民國100年11月23日總統</w:t>
      </w:r>
      <w:proofErr w:type="gramStart"/>
      <w:r w:rsidRPr="004D2A4A">
        <w:rPr>
          <w:rFonts w:ascii="標楷體" w:eastAsia="標楷體" w:hAnsi="標楷體" w:cs="新細明體" w:hint="eastAsia"/>
          <w:color w:val="37B7FF"/>
          <w:kern w:val="0"/>
        </w:rPr>
        <w:t>華總一義字第10000259721</w:t>
      </w:r>
      <w:proofErr w:type="gramEnd"/>
      <w:r w:rsidRPr="004D2A4A">
        <w:rPr>
          <w:rFonts w:ascii="標楷體" w:eastAsia="標楷體" w:hAnsi="標楷體" w:cs="新細明體" w:hint="eastAsia"/>
          <w:color w:val="37B7FF"/>
          <w:kern w:val="0"/>
        </w:rPr>
        <w:t>號令公布</w:t>
      </w:r>
    </w:p>
    <w:tbl>
      <w:tblPr>
        <w:tblW w:w="5000" w:type="pct"/>
        <w:tblCellMar>
          <w:left w:w="0" w:type="dxa"/>
          <w:right w:w="0" w:type="dxa"/>
        </w:tblCellMar>
        <w:tblLook w:val="0000" w:firstRow="0" w:lastRow="0" w:firstColumn="0" w:lastColumn="0" w:noHBand="0" w:noVBand="0"/>
      </w:tblPr>
      <w:tblGrid>
        <w:gridCol w:w="1761"/>
        <w:gridCol w:w="6761"/>
      </w:tblGrid>
      <w:tr w:rsidR="004D2A4A" w:rsidRPr="004D2A4A" w:rsidTr="004D2A4A">
        <w:tc>
          <w:tcPr>
            <w:tcW w:w="8362" w:type="dxa"/>
            <w:gridSpan w:val="2"/>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jc w:val="center"/>
              <w:rPr>
                <w:rFonts w:ascii="新細明體" w:hAnsi="新細明體" w:cs="新細明體"/>
                <w:kern w:val="0"/>
              </w:rPr>
            </w:pPr>
            <w:r w:rsidRPr="004D2A4A">
              <w:rPr>
                <w:rFonts w:ascii="標楷體" w:eastAsia="標楷體" w:hAnsi="標楷體" w:cs="新細明體" w:hint="eastAsia"/>
                <w:kern w:val="0"/>
                <w:sz w:val="28"/>
                <w:szCs w:val="28"/>
              </w:rPr>
              <w:t>第一章 總  則</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第一條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為改善室內空氣品質，以維護國民健康，特制定本法。</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第二條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本法所稱主管機關：在中央為行政院環境保護署；在直轄市為直轄市政府；在縣（市）為縣（市）政府。</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第三條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proofErr w:type="gramStart"/>
            <w:r w:rsidRPr="004D2A4A">
              <w:rPr>
                <w:rFonts w:ascii="標楷體" w:eastAsia="標楷體" w:hAnsi="標楷體" w:cs="新細明體" w:hint="eastAsia"/>
                <w:kern w:val="0"/>
                <w:sz w:val="28"/>
                <w:szCs w:val="28"/>
              </w:rPr>
              <w:t>本法用詞</w:t>
            </w:r>
            <w:proofErr w:type="gramEnd"/>
            <w:r w:rsidRPr="004D2A4A">
              <w:rPr>
                <w:rFonts w:ascii="標楷體" w:eastAsia="標楷體" w:hAnsi="標楷體" w:cs="新細明體" w:hint="eastAsia"/>
                <w:kern w:val="0"/>
                <w:sz w:val="28"/>
                <w:szCs w:val="28"/>
              </w:rPr>
              <w:t xml:space="preserve">，定義如下： </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一、室內：</w:t>
            </w:r>
            <w:proofErr w:type="gramStart"/>
            <w:r w:rsidRPr="004D2A4A">
              <w:rPr>
                <w:rFonts w:ascii="標楷體" w:eastAsia="標楷體" w:hAnsi="標楷體" w:cs="新細明體" w:hint="eastAsia"/>
                <w:kern w:val="0"/>
                <w:sz w:val="28"/>
                <w:szCs w:val="28"/>
              </w:rPr>
              <w:t>指供公眾</w:t>
            </w:r>
            <w:proofErr w:type="gramEnd"/>
            <w:r w:rsidRPr="004D2A4A">
              <w:rPr>
                <w:rFonts w:ascii="標楷體" w:eastAsia="標楷體" w:hAnsi="標楷體" w:cs="新細明體" w:hint="eastAsia"/>
                <w:kern w:val="0"/>
                <w:sz w:val="28"/>
                <w:szCs w:val="28"/>
              </w:rPr>
              <w:t>使用建築物之密閉或半密閉空間，及大眾運輸工具之搭乘空間。</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二、室內空氣污染物：指室內空氣中常態逸散，經長期性暴露足以直接或間接妨害國民健康或生活環境之物質，包括二氧化碳、一氧化碳、甲醛、總揮發性有機化合物、細菌、真菌、粒徑小於等於十微米之懸浮微粒（PM</w:t>
            </w:r>
            <w:r w:rsidRPr="004D2A4A">
              <w:rPr>
                <w:rFonts w:ascii="標楷體" w:eastAsia="標楷體" w:hAnsi="標楷體" w:cs="新細明體" w:hint="eastAsia"/>
                <w:kern w:val="0"/>
                <w:sz w:val="28"/>
                <w:szCs w:val="28"/>
                <w:vertAlign w:val="subscript"/>
              </w:rPr>
              <w:t>10</w:t>
            </w:r>
            <w:r w:rsidRPr="004D2A4A">
              <w:rPr>
                <w:rFonts w:ascii="標楷體" w:eastAsia="標楷體" w:hAnsi="標楷體" w:cs="新細明體" w:hint="eastAsia"/>
                <w:kern w:val="0"/>
                <w:sz w:val="28"/>
                <w:szCs w:val="28"/>
              </w:rPr>
              <w:t>）、粒徑小於等於二.五微米之懸浮微粒（PM</w:t>
            </w:r>
            <w:r w:rsidRPr="004D2A4A">
              <w:rPr>
                <w:rFonts w:ascii="標楷體" w:eastAsia="標楷體" w:hAnsi="標楷體" w:cs="新細明體" w:hint="eastAsia"/>
                <w:kern w:val="0"/>
                <w:sz w:val="28"/>
                <w:szCs w:val="28"/>
                <w:vertAlign w:val="subscript"/>
              </w:rPr>
              <w:t>2.5</w:t>
            </w:r>
            <w:r w:rsidRPr="004D2A4A">
              <w:rPr>
                <w:rFonts w:ascii="標楷體" w:eastAsia="標楷體" w:hAnsi="標楷體" w:cs="新細明體" w:hint="eastAsia"/>
                <w:kern w:val="0"/>
                <w:sz w:val="28"/>
                <w:szCs w:val="28"/>
              </w:rPr>
              <w:t>）、臭氧及其他經中央主管機關指定公告之物質。</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三、室內空氣品質：指室內空氣污染物之濃度、空氣中之溼度及溫度。</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第四條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中央主管機關應整合規劃及推動室內空氣品質管理相關工作，訂定、修正室內空氣品質管理法規與室內空</w:t>
            </w:r>
            <w:r w:rsidRPr="004D2A4A">
              <w:rPr>
                <w:rFonts w:ascii="標楷體" w:eastAsia="標楷體" w:hAnsi="標楷體" w:cs="新細明體" w:hint="eastAsia"/>
                <w:kern w:val="0"/>
                <w:sz w:val="28"/>
                <w:szCs w:val="28"/>
              </w:rPr>
              <w:lastRenderedPageBreak/>
              <w:t>氣品質標準及檢驗測定或監測方法。</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各級目的事業主管機關之權責劃分如下：</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一、建築主管機關：建築物通風設施、建築物裝修管理及建築物裝修建材管理相關事項。</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二、經濟主管機關：裝修材料與商品逸散空氣污染物之國家標準及空氣清淨機（器）國家標準等相關事項。</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三、衛生主管機關：傳染性病原之防護與管理、醫療機構之空調標準及</w:t>
            </w:r>
            <w:proofErr w:type="gramStart"/>
            <w:r w:rsidRPr="004D2A4A">
              <w:rPr>
                <w:rFonts w:ascii="標楷體" w:eastAsia="標楷體" w:hAnsi="標楷體" w:cs="新細明體" w:hint="eastAsia"/>
                <w:kern w:val="0"/>
                <w:sz w:val="28"/>
                <w:szCs w:val="28"/>
              </w:rPr>
              <w:t>菸</w:t>
            </w:r>
            <w:proofErr w:type="gramEnd"/>
            <w:r w:rsidRPr="004D2A4A">
              <w:rPr>
                <w:rFonts w:ascii="標楷體" w:eastAsia="標楷體" w:hAnsi="標楷體" w:cs="新細明體" w:hint="eastAsia"/>
                <w:kern w:val="0"/>
                <w:sz w:val="28"/>
                <w:szCs w:val="28"/>
              </w:rPr>
              <w:t>害防制等相關事項。</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四、交通主管機關：大眾運輸工具之空調設備通風量及通風設施維護管理相關事項。</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 xml:space="preserve">各級目的事業主管機關應輔導其主管場所改善其室內空氣品質。 </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lastRenderedPageBreak/>
              <w:t>第五條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主管機關及各級目的事業主管機關得委託專業機構，辦理有關室內空氣品質調查、檢驗、教育、宣導、輔導、訓練及研究有關事宜。</w:t>
            </w:r>
          </w:p>
        </w:tc>
      </w:tr>
      <w:tr w:rsidR="004D2A4A" w:rsidRPr="004D2A4A" w:rsidTr="004D2A4A">
        <w:tc>
          <w:tcPr>
            <w:tcW w:w="8362" w:type="dxa"/>
            <w:gridSpan w:val="2"/>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jc w:val="center"/>
              <w:rPr>
                <w:rFonts w:ascii="新細明體" w:hAnsi="新細明體" w:cs="新細明體"/>
                <w:kern w:val="0"/>
              </w:rPr>
            </w:pPr>
            <w:r w:rsidRPr="004D2A4A">
              <w:rPr>
                <w:rFonts w:ascii="標楷體" w:eastAsia="標楷體" w:hAnsi="標楷體" w:cs="新細明體" w:hint="eastAsia"/>
                <w:kern w:val="0"/>
                <w:sz w:val="28"/>
                <w:szCs w:val="28"/>
              </w:rPr>
              <w:t>第二章 管   理</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第六條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下列公私場所經中央主管機關依其場所之公眾聚集量、進出量、室內空氣污染物危害風險程度及場所之特殊需求，予以綜合考量後，</w:t>
            </w:r>
            <w:proofErr w:type="gramStart"/>
            <w:r w:rsidRPr="004D2A4A">
              <w:rPr>
                <w:rFonts w:ascii="標楷體" w:eastAsia="標楷體" w:hAnsi="標楷體" w:cs="新細明體" w:hint="eastAsia"/>
                <w:kern w:val="0"/>
                <w:sz w:val="28"/>
                <w:szCs w:val="28"/>
              </w:rPr>
              <w:t>經逐批</w:t>
            </w:r>
            <w:proofErr w:type="gramEnd"/>
            <w:r w:rsidRPr="004D2A4A">
              <w:rPr>
                <w:rFonts w:ascii="標楷體" w:eastAsia="標楷體" w:hAnsi="標楷體" w:cs="新細明體" w:hint="eastAsia"/>
                <w:kern w:val="0"/>
                <w:sz w:val="28"/>
                <w:szCs w:val="28"/>
              </w:rPr>
              <w:t>公告者，其室內</w:t>
            </w:r>
            <w:r w:rsidRPr="004D2A4A">
              <w:rPr>
                <w:rFonts w:ascii="標楷體" w:eastAsia="標楷體" w:hAnsi="標楷體" w:cs="新細明體" w:hint="eastAsia"/>
                <w:kern w:val="0"/>
                <w:sz w:val="28"/>
                <w:szCs w:val="28"/>
              </w:rPr>
              <w:lastRenderedPageBreak/>
              <w:t>場所為本法之公告場所：</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一、高級中等以下學校及其他供兒童、少年教育或活動為主要目的之場所。</w:t>
            </w:r>
          </w:p>
          <w:p w:rsidR="004D2A4A" w:rsidRPr="004D2A4A" w:rsidRDefault="004D2A4A" w:rsidP="004D2A4A">
            <w:pPr>
              <w:widowControl/>
              <w:wordWrap w:val="0"/>
              <w:spacing w:line="360" w:lineRule="atLeast"/>
              <w:rPr>
                <w:rFonts w:ascii="新細明體" w:hAnsi="新細明體" w:cs="新細明體"/>
                <w:kern w:val="0"/>
              </w:rPr>
            </w:pPr>
            <w:r w:rsidRPr="00F719F2">
              <w:rPr>
                <w:rFonts w:ascii="標楷體" w:eastAsia="標楷體" w:hAnsi="標楷體" w:cs="新細明體" w:hint="eastAsia"/>
                <w:color w:val="FF0000"/>
                <w:kern w:val="0"/>
                <w:sz w:val="28"/>
                <w:szCs w:val="28"/>
              </w:rPr>
              <w:t>二、大專校院、</w:t>
            </w:r>
            <w:r w:rsidRPr="004D2A4A">
              <w:rPr>
                <w:rFonts w:ascii="標楷體" w:eastAsia="標楷體" w:hAnsi="標楷體" w:cs="新細明體" w:hint="eastAsia"/>
                <w:kern w:val="0"/>
                <w:sz w:val="28"/>
                <w:szCs w:val="28"/>
              </w:rPr>
              <w:t>圖書館、博物館、美術館、補習班及其他文化或社會教育機構。</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三、醫療機構、護理機構、其他</w:t>
            </w:r>
            <w:proofErr w:type="gramStart"/>
            <w:r w:rsidRPr="004D2A4A">
              <w:rPr>
                <w:rFonts w:ascii="標楷體" w:eastAsia="標楷體" w:hAnsi="標楷體" w:cs="新細明體" w:hint="eastAsia"/>
                <w:kern w:val="0"/>
                <w:sz w:val="28"/>
                <w:szCs w:val="28"/>
              </w:rPr>
              <w:t>醫</w:t>
            </w:r>
            <w:proofErr w:type="gramEnd"/>
            <w:r w:rsidRPr="004D2A4A">
              <w:rPr>
                <w:rFonts w:ascii="標楷體" w:eastAsia="標楷體" w:hAnsi="標楷體" w:cs="新細明體" w:hint="eastAsia"/>
                <w:kern w:val="0"/>
                <w:sz w:val="28"/>
                <w:szCs w:val="28"/>
              </w:rPr>
              <w:t>事機構及社會福利機構所在場所。</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四、政府機關及公民營企業辦公場所。</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五、鐵路運輸業、民用航空運輸業、大眾捷運系統運輸業及客運業等之搭乘空間及車（場）站。</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六、金融機構、郵局及電信事業之營業場所。</w:t>
            </w:r>
          </w:p>
          <w:p w:rsidR="004D2A4A" w:rsidRPr="00F719F2" w:rsidRDefault="004D2A4A" w:rsidP="004D2A4A">
            <w:pPr>
              <w:widowControl/>
              <w:wordWrap w:val="0"/>
              <w:spacing w:line="360" w:lineRule="atLeast"/>
              <w:rPr>
                <w:rFonts w:ascii="新細明體" w:hAnsi="新細明體" w:cs="新細明體"/>
                <w:color w:val="FF0000"/>
                <w:kern w:val="0"/>
              </w:rPr>
            </w:pPr>
            <w:r w:rsidRPr="00F719F2">
              <w:rPr>
                <w:rFonts w:ascii="標楷體" w:eastAsia="標楷體" w:hAnsi="標楷體" w:cs="新細明體" w:hint="eastAsia"/>
                <w:color w:val="FF0000"/>
                <w:kern w:val="0"/>
                <w:sz w:val="28"/>
                <w:szCs w:val="28"/>
              </w:rPr>
              <w:t>七、供體育、運動或健身之場所。</w:t>
            </w:r>
          </w:p>
          <w:p w:rsidR="004D2A4A" w:rsidRPr="00F719F2" w:rsidRDefault="004D2A4A" w:rsidP="004D2A4A">
            <w:pPr>
              <w:widowControl/>
              <w:wordWrap w:val="0"/>
              <w:spacing w:line="360" w:lineRule="atLeast"/>
              <w:rPr>
                <w:rFonts w:ascii="新細明體" w:hAnsi="新細明體" w:cs="新細明體"/>
                <w:color w:val="FF0000"/>
                <w:kern w:val="0"/>
              </w:rPr>
            </w:pPr>
            <w:r w:rsidRPr="00F719F2">
              <w:rPr>
                <w:rFonts w:ascii="標楷體" w:eastAsia="標楷體" w:hAnsi="標楷體" w:cs="新細明體" w:hint="eastAsia"/>
                <w:color w:val="FF0000"/>
                <w:kern w:val="0"/>
                <w:sz w:val="28"/>
                <w:szCs w:val="28"/>
              </w:rPr>
              <w:t>八、教室、圖書室、實驗室、表演廳、禮堂、展覽室、會議廳（室）。</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九、歌劇院、電影院、視聽歌唱業或資訊休閒業及其他供公眾休閒娛樂之場所。</w:t>
            </w:r>
          </w:p>
          <w:p w:rsidR="004D2A4A" w:rsidRPr="00F719F2" w:rsidRDefault="004D2A4A" w:rsidP="004D2A4A">
            <w:pPr>
              <w:widowControl/>
              <w:wordWrap w:val="0"/>
              <w:spacing w:line="360" w:lineRule="atLeast"/>
              <w:rPr>
                <w:rFonts w:ascii="新細明體" w:hAnsi="新細明體" w:cs="新細明體"/>
                <w:color w:val="FF0000"/>
                <w:kern w:val="0"/>
              </w:rPr>
            </w:pPr>
            <w:r w:rsidRPr="004D2A4A">
              <w:rPr>
                <w:rFonts w:ascii="標楷體" w:eastAsia="標楷體" w:hAnsi="標楷體" w:cs="新細明體" w:hint="eastAsia"/>
                <w:kern w:val="0"/>
                <w:sz w:val="28"/>
                <w:szCs w:val="28"/>
              </w:rPr>
              <w:t>十、旅館、商場、市場、</w:t>
            </w:r>
            <w:r w:rsidRPr="00F719F2">
              <w:rPr>
                <w:rFonts w:ascii="標楷體" w:eastAsia="標楷體" w:hAnsi="標楷體" w:cs="新細明體" w:hint="eastAsia"/>
                <w:color w:val="FF0000"/>
                <w:kern w:val="0"/>
                <w:sz w:val="28"/>
                <w:szCs w:val="28"/>
              </w:rPr>
              <w:t>餐飲店或其他供公眾消費之場所。</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十一、 其他供公共使用之場所及大眾運輸工具。</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lastRenderedPageBreak/>
              <w:t>第七條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前條公告場所之室內空氣品質，應符合室內空氣品質標準。但因不可歸責於公告場所所有人、管理人或使用人之事由，致室內空氣品質未符合室內空氣品質標準者，不在此限。</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前項標準，由中央主管機關會商中央目的事業主管機關依公告場所之類別及其使用特性定之。</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第八條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F719F2">
              <w:rPr>
                <w:rFonts w:ascii="標楷體" w:eastAsia="標楷體" w:hAnsi="標楷體" w:cs="新細明體" w:hint="eastAsia"/>
                <w:color w:val="0000FF"/>
                <w:kern w:val="0"/>
                <w:sz w:val="28"/>
                <w:szCs w:val="28"/>
              </w:rPr>
              <w:t>公告場所所有人、管理人或使用人應訂定室內空氣品質維護管理計畫，據以執行，</w:t>
            </w:r>
            <w:r w:rsidRPr="004D2A4A">
              <w:rPr>
                <w:rFonts w:ascii="標楷體" w:eastAsia="標楷體" w:hAnsi="標楷體" w:cs="新細明體" w:hint="eastAsia"/>
                <w:kern w:val="0"/>
                <w:sz w:val="28"/>
                <w:szCs w:val="28"/>
              </w:rPr>
              <w:t>公告場所之室內使用變更致影響其室內空氣品質時，該計畫內容應立即檢討修正。</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第九條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F719F2" w:rsidRDefault="004D2A4A" w:rsidP="004D2A4A">
            <w:pPr>
              <w:widowControl/>
              <w:wordWrap w:val="0"/>
              <w:spacing w:line="360" w:lineRule="atLeast"/>
              <w:rPr>
                <w:rFonts w:ascii="新細明體" w:hAnsi="新細明體" w:cs="新細明體"/>
                <w:color w:val="0000FF"/>
                <w:kern w:val="0"/>
              </w:rPr>
            </w:pPr>
            <w:r w:rsidRPr="004D2A4A">
              <w:rPr>
                <w:rFonts w:ascii="標楷體" w:eastAsia="標楷體" w:hAnsi="標楷體" w:cs="新細明體" w:hint="eastAsia"/>
                <w:kern w:val="0"/>
                <w:sz w:val="28"/>
                <w:szCs w:val="28"/>
              </w:rPr>
              <w:t>公告場所所有人、管理人或使用人應</w:t>
            </w:r>
            <w:r w:rsidRPr="00F719F2">
              <w:rPr>
                <w:rFonts w:ascii="標楷體" w:eastAsia="標楷體" w:hAnsi="標楷體" w:cs="新細明體" w:hint="eastAsia"/>
                <w:color w:val="0000FF"/>
                <w:kern w:val="0"/>
                <w:sz w:val="28"/>
                <w:szCs w:val="28"/>
              </w:rPr>
              <w:t>置室內空氣品質維護管理專責人員(以下簡稱專責人員)</w:t>
            </w:r>
            <w:r w:rsidRPr="004D2A4A">
              <w:rPr>
                <w:rFonts w:ascii="標楷體" w:eastAsia="標楷體" w:hAnsi="標楷體" w:cs="新細明體" w:hint="eastAsia"/>
                <w:kern w:val="0"/>
                <w:sz w:val="28"/>
                <w:szCs w:val="28"/>
              </w:rPr>
              <w:t>，依前條室內空氣品質維護管理計畫，</w:t>
            </w:r>
            <w:r w:rsidRPr="00F719F2">
              <w:rPr>
                <w:rFonts w:ascii="標楷體" w:eastAsia="標楷體" w:hAnsi="標楷體" w:cs="新細明體" w:hint="eastAsia"/>
                <w:color w:val="0000FF"/>
                <w:kern w:val="0"/>
                <w:sz w:val="28"/>
                <w:szCs w:val="28"/>
              </w:rPr>
              <w:t>執行管理維護。</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前項</w:t>
            </w:r>
            <w:r w:rsidRPr="00F719F2">
              <w:rPr>
                <w:rFonts w:ascii="標楷體" w:eastAsia="標楷體" w:hAnsi="標楷體" w:cs="新細明體" w:hint="eastAsia"/>
                <w:color w:val="0000FF"/>
                <w:kern w:val="0"/>
                <w:sz w:val="28"/>
                <w:szCs w:val="28"/>
              </w:rPr>
              <w:t>專責人員應符合中央主管機關規定之資格</w:t>
            </w:r>
            <w:r w:rsidRPr="004D2A4A">
              <w:rPr>
                <w:rFonts w:ascii="標楷體" w:eastAsia="標楷體" w:hAnsi="標楷體" w:cs="新細明體" w:hint="eastAsia"/>
                <w:kern w:val="0"/>
                <w:sz w:val="28"/>
                <w:szCs w:val="28"/>
              </w:rPr>
              <w:t>，並經</w:t>
            </w:r>
            <w:r w:rsidRPr="00F719F2">
              <w:rPr>
                <w:rFonts w:ascii="標楷體" w:eastAsia="標楷體" w:hAnsi="標楷體" w:cs="新細明體" w:hint="eastAsia"/>
                <w:color w:val="0000FF"/>
                <w:kern w:val="0"/>
                <w:sz w:val="28"/>
                <w:szCs w:val="28"/>
              </w:rPr>
              <w:t>訓練取得合格證書</w:t>
            </w:r>
            <w:r w:rsidRPr="004D2A4A">
              <w:rPr>
                <w:rFonts w:ascii="標楷體" w:eastAsia="標楷體" w:hAnsi="標楷體" w:cs="新細明體" w:hint="eastAsia"/>
                <w:kern w:val="0"/>
                <w:sz w:val="28"/>
                <w:szCs w:val="28"/>
              </w:rPr>
              <w:t>。</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前二項專責人員之設置、資格、訓練、合格證書之取得、撤銷、廢止及其他應遵行事項之辦法，由中央主管機關定之。</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第十條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F719F2" w:rsidRDefault="004D2A4A" w:rsidP="004D2A4A">
            <w:pPr>
              <w:widowControl/>
              <w:wordWrap w:val="0"/>
              <w:spacing w:line="360" w:lineRule="atLeast"/>
              <w:rPr>
                <w:rFonts w:ascii="新細明體" w:hAnsi="新細明體" w:cs="新細明體"/>
                <w:color w:val="FF0000"/>
                <w:kern w:val="0"/>
              </w:rPr>
            </w:pPr>
            <w:r w:rsidRPr="004D2A4A">
              <w:rPr>
                <w:rFonts w:ascii="標楷體" w:eastAsia="標楷體" w:hAnsi="標楷體" w:cs="新細明體" w:hint="eastAsia"/>
                <w:kern w:val="0"/>
                <w:sz w:val="28"/>
                <w:szCs w:val="28"/>
              </w:rPr>
              <w:t>公告場所所有人、管理人或使用人</w:t>
            </w:r>
            <w:r w:rsidRPr="00F719F2">
              <w:rPr>
                <w:rFonts w:ascii="標楷體" w:eastAsia="標楷體" w:hAnsi="標楷體" w:cs="新細明體" w:hint="eastAsia"/>
                <w:color w:val="FF0000"/>
                <w:kern w:val="0"/>
                <w:sz w:val="28"/>
                <w:szCs w:val="28"/>
              </w:rPr>
              <w:t>應委託檢驗測定機</w:t>
            </w:r>
            <w:r w:rsidRPr="00F719F2">
              <w:rPr>
                <w:rFonts w:ascii="標楷體" w:eastAsia="標楷體" w:hAnsi="標楷體" w:cs="新細明體" w:hint="eastAsia"/>
                <w:color w:val="FF0000"/>
                <w:kern w:val="0"/>
                <w:sz w:val="28"/>
                <w:szCs w:val="28"/>
              </w:rPr>
              <w:lastRenderedPageBreak/>
              <w:t>構，定期實施室內空氣品質檢驗測定，並應定期公布檢驗測定結果，及作成紀錄。</w:t>
            </w:r>
          </w:p>
          <w:p w:rsidR="004D2A4A" w:rsidRPr="00AD5EBA" w:rsidRDefault="004D2A4A" w:rsidP="004D2A4A">
            <w:pPr>
              <w:widowControl/>
              <w:wordWrap w:val="0"/>
              <w:spacing w:line="360" w:lineRule="atLeast"/>
              <w:rPr>
                <w:rFonts w:ascii="新細明體" w:hAnsi="新細明體" w:cs="新細明體"/>
                <w:color w:val="000000"/>
                <w:kern w:val="0"/>
              </w:rPr>
            </w:pPr>
            <w:r w:rsidRPr="00AD5EBA">
              <w:rPr>
                <w:rFonts w:ascii="標楷體" w:eastAsia="標楷體" w:hAnsi="標楷體" w:cs="新細明體" w:hint="eastAsia"/>
                <w:color w:val="000000"/>
                <w:kern w:val="0"/>
                <w:sz w:val="28"/>
                <w:szCs w:val="28"/>
              </w:rPr>
              <w:t>經中央主管機關指定之公告場所</w:t>
            </w:r>
            <w:r w:rsidRPr="00F719F2">
              <w:rPr>
                <w:rFonts w:ascii="標楷體" w:eastAsia="標楷體" w:hAnsi="標楷體" w:cs="新細明體" w:hint="eastAsia"/>
                <w:color w:val="FF00FF"/>
                <w:kern w:val="0"/>
                <w:sz w:val="28"/>
                <w:szCs w:val="28"/>
              </w:rPr>
              <w:t>應設置自動監測設施，</w:t>
            </w:r>
            <w:r w:rsidRPr="00AD5EBA">
              <w:rPr>
                <w:rFonts w:ascii="標楷體" w:eastAsia="標楷體" w:hAnsi="標楷體" w:cs="新細明體" w:hint="eastAsia"/>
                <w:color w:val="000000"/>
                <w:kern w:val="0"/>
                <w:sz w:val="28"/>
                <w:szCs w:val="28"/>
              </w:rPr>
              <w:t>以連續監測室內空氣品質，其自動監測最新結果，應即時</w:t>
            </w:r>
            <w:r w:rsidRPr="00F719F2">
              <w:rPr>
                <w:rFonts w:ascii="標楷體" w:eastAsia="標楷體" w:hAnsi="標楷體" w:cs="新細明體" w:hint="eastAsia"/>
                <w:color w:val="FF00FF"/>
                <w:kern w:val="0"/>
                <w:sz w:val="28"/>
                <w:szCs w:val="28"/>
              </w:rPr>
              <w:t>公布於該場所內或入口明顯處，並應作成紀錄</w:t>
            </w:r>
            <w:r w:rsidRPr="00AD5EBA">
              <w:rPr>
                <w:rFonts w:ascii="標楷體" w:eastAsia="標楷體" w:hAnsi="標楷體" w:cs="新細明體" w:hint="eastAsia"/>
                <w:color w:val="000000"/>
                <w:kern w:val="0"/>
                <w:sz w:val="28"/>
                <w:szCs w:val="28"/>
              </w:rPr>
              <w:t>。</w:t>
            </w:r>
          </w:p>
          <w:p w:rsidR="004D2A4A" w:rsidRPr="00F719F2" w:rsidRDefault="004D2A4A" w:rsidP="004D2A4A">
            <w:pPr>
              <w:widowControl/>
              <w:wordWrap w:val="0"/>
              <w:spacing w:line="360" w:lineRule="atLeast"/>
              <w:rPr>
                <w:rFonts w:ascii="新細明體" w:hAnsi="新細明體" w:cs="新細明體"/>
                <w:color w:val="000000"/>
                <w:kern w:val="0"/>
              </w:rPr>
            </w:pPr>
            <w:r w:rsidRPr="00F719F2">
              <w:rPr>
                <w:rFonts w:ascii="標楷體" w:eastAsia="標楷體" w:hAnsi="標楷體" w:cs="新細明體" w:hint="eastAsia"/>
                <w:color w:val="000000"/>
                <w:kern w:val="0"/>
                <w:sz w:val="28"/>
                <w:szCs w:val="28"/>
              </w:rPr>
              <w:t>前二項檢驗測定項目、頻率、</w:t>
            </w:r>
            <w:proofErr w:type="gramStart"/>
            <w:r w:rsidRPr="00F719F2">
              <w:rPr>
                <w:rFonts w:ascii="標楷體" w:eastAsia="標楷體" w:hAnsi="標楷體" w:cs="新細明體" w:hint="eastAsia"/>
                <w:color w:val="000000"/>
                <w:kern w:val="0"/>
                <w:sz w:val="28"/>
                <w:szCs w:val="28"/>
              </w:rPr>
              <w:t>採樣數與採</w:t>
            </w:r>
            <w:proofErr w:type="gramEnd"/>
            <w:r w:rsidRPr="00F719F2">
              <w:rPr>
                <w:rFonts w:ascii="標楷體" w:eastAsia="標楷體" w:hAnsi="標楷體" w:cs="新細明體" w:hint="eastAsia"/>
                <w:color w:val="000000"/>
                <w:kern w:val="0"/>
                <w:sz w:val="28"/>
                <w:szCs w:val="28"/>
              </w:rPr>
              <w:t>樣分布方式、監測項目、頻率、監測設施規範與結果公布方式、紀錄保存年限、保存方式及其他應遵行事項之辦法，由中央主管機關定之。</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lastRenderedPageBreak/>
              <w:t>第十一條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檢驗測定機構應取得中央主管機關核發許可證後，始得辦理本法規定之檢驗測定。</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前項檢驗測定機構應具備之條件、設施、檢驗測定人員資格、許可證之申請、審查、許可證有效期限、核(換)發、撤銷、廢止、停業、復業、查核、評鑑程序及其他應遵行事項之辦法，由中央主管機關定之。</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本法各項室內空氣污染物檢驗測定方法及品質管制事項，由中央主管機關公告之。</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第十二條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主管機關得派員出示有關執行職務之證明文件或顯示足資辨別之標誌，執行公告場所之現場檢查、室內空</w:t>
            </w:r>
            <w:r w:rsidRPr="004D2A4A">
              <w:rPr>
                <w:rFonts w:ascii="標楷體" w:eastAsia="標楷體" w:hAnsi="標楷體" w:cs="新細明體" w:hint="eastAsia"/>
                <w:kern w:val="0"/>
                <w:sz w:val="28"/>
                <w:szCs w:val="28"/>
              </w:rPr>
              <w:lastRenderedPageBreak/>
              <w:t>氣品質檢驗測定或查核檢（監）測紀錄，並得命提供有關資料，公告場所所有人、管理人或使用人不得規避、妨礙或拒絕。</w:t>
            </w:r>
          </w:p>
        </w:tc>
      </w:tr>
      <w:tr w:rsidR="004D2A4A" w:rsidRPr="004D2A4A" w:rsidTr="004D2A4A">
        <w:tc>
          <w:tcPr>
            <w:tcW w:w="8362" w:type="dxa"/>
            <w:gridSpan w:val="2"/>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jc w:val="center"/>
              <w:rPr>
                <w:rFonts w:ascii="新細明體" w:hAnsi="新細明體" w:cs="新細明體"/>
                <w:kern w:val="0"/>
              </w:rPr>
            </w:pPr>
            <w:r w:rsidRPr="004D2A4A">
              <w:rPr>
                <w:rFonts w:ascii="標楷體" w:eastAsia="標楷體" w:hAnsi="標楷體" w:cs="新細明體" w:hint="eastAsia"/>
                <w:kern w:val="0"/>
                <w:sz w:val="28"/>
                <w:szCs w:val="28"/>
              </w:rPr>
              <w:lastRenderedPageBreak/>
              <w:t>第三章 罰   則</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第十三條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公告場所所有人、管理人或使用人依本法第十條規定應作成之紀錄有虛偽記載者，處新臺幣十萬元以上五十萬元以下罰鍰。</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第十四條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規避、妨礙或拒絕依第十二條規定之檢查、檢驗測定、查核或命提供有關資料者，處公告場所所有人、管理人或使用人新臺幣十萬元以上五十萬元以下罰鍰，並得按次處罰。</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第十五條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公告場所不符合第七條第一項所定室內空氣品質標準，經主管機關命其限期改善，屆期未改善者，處所有人、管理人或使用人新臺幣五萬元以上二十五萬元以下罰鍰，並再命其限期改善；屆期仍未改善者，按次處罰；情節重大者，得限制或禁止其使用公告場所，必要時，並得命其停止營業。</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前項改善</w:t>
            </w:r>
            <w:proofErr w:type="gramStart"/>
            <w:r w:rsidRPr="004D2A4A">
              <w:rPr>
                <w:rFonts w:ascii="標楷體" w:eastAsia="標楷體" w:hAnsi="標楷體" w:cs="新細明體" w:hint="eastAsia"/>
                <w:kern w:val="0"/>
                <w:sz w:val="28"/>
                <w:szCs w:val="28"/>
              </w:rPr>
              <w:t>期間，</w:t>
            </w:r>
            <w:proofErr w:type="gramEnd"/>
            <w:r w:rsidRPr="004D2A4A">
              <w:rPr>
                <w:rFonts w:ascii="標楷體" w:eastAsia="標楷體" w:hAnsi="標楷體" w:cs="新細明體" w:hint="eastAsia"/>
                <w:kern w:val="0"/>
                <w:sz w:val="28"/>
                <w:szCs w:val="28"/>
              </w:rPr>
              <w:t>公告場所所有人、管理人或使用人應於場所入口明顯處標示室內空氣品質不合格，未依規</w:t>
            </w:r>
            <w:r w:rsidRPr="004D2A4A">
              <w:rPr>
                <w:rFonts w:ascii="標楷體" w:eastAsia="標楷體" w:hAnsi="標楷體" w:cs="新細明體" w:hint="eastAsia"/>
                <w:kern w:val="0"/>
                <w:sz w:val="28"/>
                <w:szCs w:val="28"/>
              </w:rPr>
              <w:lastRenderedPageBreak/>
              <w:t>定標示且繼續使用該公告場所者，處所有人、管理人或使用人新臺幣五千元以上二萬五千元以下罰鍰，並命其限期改善；屆期未改善者，按次處罰。</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lastRenderedPageBreak/>
              <w:t>第十六條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檢驗測定機構違反第十一條第一項或依第二項所定辦法中有關檢驗測定人員資格、查核、評鑑或檢驗測定業務執行之管理規定者，處新臺幣五萬元以上二十五萬元以下罰鍰，並命其限期改善，屆期未改善者，按次處罰；檢驗測定機構出具不實之文書者，主管機關得廢止其許可證。</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第十七條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公告場所所有人、管理人或使用人違反第八條、第九條第一項或第二項規定者，</w:t>
            </w:r>
            <w:proofErr w:type="gramStart"/>
            <w:r w:rsidRPr="004D2A4A">
              <w:rPr>
                <w:rFonts w:ascii="標楷體" w:eastAsia="標楷體" w:hAnsi="標楷體" w:cs="新細明體" w:hint="eastAsia"/>
                <w:kern w:val="0"/>
                <w:sz w:val="28"/>
                <w:szCs w:val="28"/>
              </w:rPr>
              <w:t>經命其</w:t>
            </w:r>
            <w:proofErr w:type="gramEnd"/>
            <w:r w:rsidRPr="004D2A4A">
              <w:rPr>
                <w:rFonts w:ascii="標楷體" w:eastAsia="標楷體" w:hAnsi="標楷體" w:cs="新細明體" w:hint="eastAsia"/>
                <w:kern w:val="0"/>
                <w:sz w:val="28"/>
                <w:szCs w:val="28"/>
              </w:rPr>
              <w:t>限期改善，屆期未改善者，處新臺幣一萬元以上五萬元以下罰鍰，並再命其限期改善，屆期仍未改善者，按次處罰。</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第十八條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公告場所所有人、管理人或使用人違反第十條第一項、第二項或依第三項所定辦法中有關檢驗測定項目、頻率、</w:t>
            </w:r>
            <w:proofErr w:type="gramStart"/>
            <w:r w:rsidRPr="004D2A4A">
              <w:rPr>
                <w:rFonts w:ascii="標楷體" w:eastAsia="標楷體" w:hAnsi="標楷體" w:cs="新細明體" w:hint="eastAsia"/>
                <w:kern w:val="0"/>
                <w:sz w:val="28"/>
                <w:szCs w:val="28"/>
              </w:rPr>
              <w:t>採樣數與採</w:t>
            </w:r>
            <w:proofErr w:type="gramEnd"/>
            <w:r w:rsidRPr="004D2A4A">
              <w:rPr>
                <w:rFonts w:ascii="標楷體" w:eastAsia="標楷體" w:hAnsi="標楷體" w:cs="新細明體" w:hint="eastAsia"/>
                <w:kern w:val="0"/>
                <w:sz w:val="28"/>
                <w:szCs w:val="28"/>
              </w:rPr>
              <w:t>樣分布方式、監測項目、頻率、監測設施規範、結果公布方式、紀錄保存年限、保存方式之管理規定者，</w:t>
            </w:r>
            <w:proofErr w:type="gramStart"/>
            <w:r w:rsidRPr="004D2A4A">
              <w:rPr>
                <w:rFonts w:ascii="標楷體" w:eastAsia="標楷體" w:hAnsi="標楷體" w:cs="新細明體" w:hint="eastAsia"/>
                <w:kern w:val="0"/>
                <w:sz w:val="28"/>
                <w:szCs w:val="28"/>
              </w:rPr>
              <w:t>經命其</w:t>
            </w:r>
            <w:proofErr w:type="gramEnd"/>
            <w:r w:rsidRPr="004D2A4A">
              <w:rPr>
                <w:rFonts w:ascii="標楷體" w:eastAsia="標楷體" w:hAnsi="標楷體" w:cs="新細明體" w:hint="eastAsia"/>
                <w:kern w:val="0"/>
                <w:sz w:val="28"/>
                <w:szCs w:val="28"/>
              </w:rPr>
              <w:t>限期改善，屆期未改善者，處所有人、管理人或使用人新臺幣五千元以上二萬五</w:t>
            </w:r>
            <w:r w:rsidRPr="004D2A4A">
              <w:rPr>
                <w:rFonts w:ascii="標楷體" w:eastAsia="標楷體" w:hAnsi="標楷體" w:cs="新細明體" w:hint="eastAsia"/>
                <w:kern w:val="0"/>
                <w:sz w:val="28"/>
                <w:szCs w:val="28"/>
              </w:rPr>
              <w:lastRenderedPageBreak/>
              <w:t>千元以下罰鍰，並再命其限期改善；屆期仍未改善者，按次處罰。</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lastRenderedPageBreak/>
              <w:t>第十九條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依本法處罰鍰者，其額度應依違反室內空氣品質標準程度及特性裁處。</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前項裁罰準則，由中央主管機關定之。</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第二十條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依</w:t>
            </w:r>
            <w:proofErr w:type="gramStart"/>
            <w:r w:rsidRPr="004D2A4A">
              <w:rPr>
                <w:rFonts w:ascii="標楷體" w:eastAsia="標楷體" w:hAnsi="標楷體" w:cs="新細明體" w:hint="eastAsia"/>
                <w:kern w:val="0"/>
                <w:sz w:val="28"/>
                <w:szCs w:val="28"/>
              </w:rPr>
              <w:t>本法命其</w:t>
            </w:r>
            <w:proofErr w:type="gramEnd"/>
            <w:r w:rsidRPr="004D2A4A">
              <w:rPr>
                <w:rFonts w:ascii="標楷體" w:eastAsia="標楷體" w:hAnsi="標楷體" w:cs="新細明體" w:hint="eastAsia"/>
                <w:kern w:val="0"/>
                <w:sz w:val="28"/>
                <w:szCs w:val="28"/>
              </w:rPr>
              <w:t>限期改善者，其改善</w:t>
            </w:r>
            <w:proofErr w:type="gramStart"/>
            <w:r w:rsidRPr="004D2A4A">
              <w:rPr>
                <w:rFonts w:ascii="標楷體" w:eastAsia="標楷體" w:hAnsi="標楷體" w:cs="新細明體" w:hint="eastAsia"/>
                <w:kern w:val="0"/>
                <w:sz w:val="28"/>
                <w:szCs w:val="28"/>
              </w:rPr>
              <w:t>期間，</w:t>
            </w:r>
            <w:proofErr w:type="gramEnd"/>
            <w:r w:rsidRPr="004D2A4A">
              <w:rPr>
                <w:rFonts w:ascii="標楷體" w:eastAsia="標楷體" w:hAnsi="標楷體" w:cs="新細明體" w:hint="eastAsia"/>
                <w:kern w:val="0"/>
                <w:sz w:val="28"/>
                <w:szCs w:val="28"/>
              </w:rPr>
              <w:t>以九十日為限。因天災或其他不可抗力事由，致未能於改善期限內完成改善者，應於其事由消滅後十五日內，以書面敘明事由，檢具相關資料，向主管機關申請延長改善期限，主管機關應依實際狀況核定改善期限。</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公告場所所有人、管理人或使用人未能於前項主管機關所定限期內改善者，得於接獲限期改善之日起三十日內，提出具體改善計畫，向主管機關申請延長改善期限，主管機關應依實際狀況核定改善期限，最長不得超過六個月；未切實依其所提之具體改善計畫執行，經查證屬實者，主管機關得立即終止其改善期限，並視為屆期未改善。</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第二十一條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第十五條第一項所稱情節重大，指有下列情形之</w:t>
            </w:r>
            <w:proofErr w:type="gramStart"/>
            <w:r w:rsidRPr="004D2A4A">
              <w:rPr>
                <w:rFonts w:ascii="標楷體" w:eastAsia="標楷體" w:hAnsi="標楷體" w:cs="新細明體" w:hint="eastAsia"/>
                <w:kern w:val="0"/>
                <w:sz w:val="28"/>
                <w:szCs w:val="28"/>
              </w:rPr>
              <w:t>一</w:t>
            </w:r>
            <w:proofErr w:type="gramEnd"/>
            <w:r w:rsidRPr="004D2A4A">
              <w:rPr>
                <w:rFonts w:ascii="標楷體" w:eastAsia="標楷體" w:hAnsi="標楷體" w:cs="新細明體" w:hint="eastAsia"/>
                <w:kern w:val="0"/>
                <w:sz w:val="28"/>
                <w:szCs w:val="28"/>
              </w:rPr>
              <w:t>者：</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一、公告場所不符合第七條第一項所定室內空氣品質</w:t>
            </w:r>
            <w:r w:rsidRPr="004D2A4A">
              <w:rPr>
                <w:rFonts w:ascii="標楷體" w:eastAsia="標楷體" w:hAnsi="標楷體" w:cs="新細明體" w:hint="eastAsia"/>
                <w:kern w:val="0"/>
                <w:sz w:val="28"/>
                <w:szCs w:val="28"/>
              </w:rPr>
              <w:lastRenderedPageBreak/>
              <w:t>標準之日起，</w:t>
            </w:r>
            <w:proofErr w:type="gramStart"/>
            <w:r w:rsidRPr="004D2A4A">
              <w:rPr>
                <w:rFonts w:ascii="標楷體" w:eastAsia="標楷體" w:hAnsi="標楷體" w:cs="新細明體" w:hint="eastAsia"/>
                <w:kern w:val="0"/>
                <w:sz w:val="28"/>
                <w:szCs w:val="28"/>
              </w:rPr>
              <w:t>一</w:t>
            </w:r>
            <w:proofErr w:type="gramEnd"/>
            <w:r w:rsidRPr="004D2A4A">
              <w:rPr>
                <w:rFonts w:ascii="標楷體" w:eastAsia="標楷體" w:hAnsi="標楷體" w:cs="新細明體" w:hint="eastAsia"/>
                <w:kern w:val="0"/>
                <w:sz w:val="28"/>
                <w:szCs w:val="28"/>
              </w:rPr>
              <w:t>年內經二次處罰，仍繼續違反本法規定。</w:t>
            </w:r>
          </w:p>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二、公告場所室內空氣品質嚴重惡化，而所有人、管理人或使用人未立即採取緊急應變措施，致有嚴重危害公眾健康之虞。</w:t>
            </w:r>
          </w:p>
        </w:tc>
      </w:tr>
      <w:tr w:rsidR="004D2A4A" w:rsidRPr="004D2A4A" w:rsidTr="004D2A4A">
        <w:tc>
          <w:tcPr>
            <w:tcW w:w="8362" w:type="dxa"/>
            <w:gridSpan w:val="2"/>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jc w:val="center"/>
              <w:rPr>
                <w:rFonts w:ascii="新細明體" w:hAnsi="新細明體" w:cs="新細明體"/>
                <w:kern w:val="0"/>
              </w:rPr>
            </w:pPr>
            <w:r w:rsidRPr="004D2A4A">
              <w:rPr>
                <w:rFonts w:ascii="標楷體" w:eastAsia="標楷體" w:hAnsi="標楷體" w:cs="新細明體" w:hint="eastAsia"/>
                <w:kern w:val="0"/>
                <w:sz w:val="28"/>
                <w:szCs w:val="28"/>
              </w:rPr>
              <w:lastRenderedPageBreak/>
              <w:t>第四章 附   則</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第二十二條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未於限期改善之</w:t>
            </w:r>
            <w:proofErr w:type="gramStart"/>
            <w:r w:rsidRPr="004D2A4A">
              <w:rPr>
                <w:rFonts w:ascii="標楷體" w:eastAsia="標楷體" w:hAnsi="標楷體" w:cs="新細明體" w:hint="eastAsia"/>
                <w:kern w:val="0"/>
                <w:sz w:val="28"/>
                <w:szCs w:val="28"/>
              </w:rPr>
              <w:t>期限屆至前</w:t>
            </w:r>
            <w:proofErr w:type="gramEnd"/>
            <w:r w:rsidRPr="004D2A4A">
              <w:rPr>
                <w:rFonts w:ascii="標楷體" w:eastAsia="標楷體" w:hAnsi="標楷體" w:cs="新細明體" w:hint="eastAsia"/>
                <w:kern w:val="0"/>
                <w:sz w:val="28"/>
                <w:szCs w:val="28"/>
              </w:rPr>
              <w:t>，檢具資料、符合室內空氣品質標準或其他符合本法規定之證明文件，向主管機關報請查驗者，視為未改善。</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第二十三條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本法施行細則，由中央主管機關定之。</w:t>
            </w:r>
          </w:p>
        </w:tc>
      </w:tr>
      <w:tr w:rsidR="004D2A4A" w:rsidRPr="004D2A4A" w:rsidTr="004D2A4A">
        <w:tc>
          <w:tcPr>
            <w:tcW w:w="1728"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第二十四條</w:t>
            </w:r>
          </w:p>
        </w:tc>
        <w:tc>
          <w:tcPr>
            <w:tcW w:w="6634" w:type="dxa"/>
            <w:tcBorders>
              <w:top w:val="nil"/>
              <w:left w:val="nil"/>
              <w:bottom w:val="nil"/>
              <w:right w:val="nil"/>
            </w:tcBorders>
            <w:shd w:val="clear" w:color="auto" w:fill="auto"/>
            <w:tcMar>
              <w:top w:w="0" w:type="dxa"/>
              <w:left w:w="108" w:type="dxa"/>
              <w:bottom w:w="0" w:type="dxa"/>
              <w:right w:w="108" w:type="dxa"/>
            </w:tcMar>
          </w:tcPr>
          <w:p w:rsidR="004D2A4A" w:rsidRPr="004D2A4A" w:rsidRDefault="004D2A4A" w:rsidP="004D2A4A">
            <w:pPr>
              <w:widowControl/>
              <w:wordWrap w:val="0"/>
              <w:spacing w:line="360" w:lineRule="atLeast"/>
              <w:rPr>
                <w:rFonts w:ascii="新細明體" w:hAnsi="新細明體" w:cs="新細明體"/>
                <w:kern w:val="0"/>
              </w:rPr>
            </w:pPr>
            <w:r w:rsidRPr="004D2A4A">
              <w:rPr>
                <w:rFonts w:ascii="標楷體" w:eastAsia="標楷體" w:hAnsi="標楷體" w:cs="新細明體" w:hint="eastAsia"/>
                <w:kern w:val="0"/>
                <w:sz w:val="28"/>
                <w:szCs w:val="28"/>
              </w:rPr>
              <w:t>本法自公布後一年施行。</w:t>
            </w:r>
          </w:p>
        </w:tc>
      </w:tr>
    </w:tbl>
    <w:p w:rsidR="004D2A4A" w:rsidRPr="004D2A4A" w:rsidRDefault="004D2A4A">
      <w:pPr>
        <w:rPr>
          <w:rFonts w:hint="eastAsia"/>
        </w:rPr>
      </w:pPr>
    </w:p>
    <w:sectPr w:rsidR="004D2A4A" w:rsidRPr="004D2A4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4A"/>
    <w:rsid w:val="00482664"/>
    <w:rsid w:val="004B67BB"/>
    <w:rsid w:val="004D2A4A"/>
    <w:rsid w:val="006E47ED"/>
    <w:rsid w:val="00AD5EBA"/>
    <w:rsid w:val="00EF3867"/>
    <w:rsid w:val="00F719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82540">
      <w:bodyDiv w:val="1"/>
      <w:marLeft w:val="0"/>
      <w:marRight w:val="0"/>
      <w:marTop w:val="0"/>
      <w:marBottom w:val="271"/>
      <w:divBdr>
        <w:top w:val="none" w:sz="0" w:space="0" w:color="auto"/>
        <w:left w:val="none" w:sz="0" w:space="0" w:color="auto"/>
        <w:bottom w:val="none" w:sz="0" w:space="0" w:color="auto"/>
        <w:right w:val="none" w:sz="0" w:space="0" w:color="auto"/>
      </w:divBdr>
      <w:divsChild>
        <w:div w:id="688869530">
          <w:marLeft w:val="0"/>
          <w:marRight w:val="0"/>
          <w:marTop w:val="0"/>
          <w:marBottom w:val="0"/>
          <w:divBdr>
            <w:top w:val="none" w:sz="0" w:space="0" w:color="auto"/>
            <w:left w:val="none" w:sz="0" w:space="0" w:color="auto"/>
            <w:bottom w:val="none" w:sz="0" w:space="0" w:color="auto"/>
            <w:right w:val="none" w:sz="0" w:space="0" w:color="auto"/>
          </w:divBdr>
          <w:divsChild>
            <w:div w:id="1871647593">
              <w:marLeft w:val="-2711"/>
              <w:marRight w:val="0"/>
              <w:marTop w:val="0"/>
              <w:marBottom w:val="0"/>
              <w:divBdr>
                <w:top w:val="none" w:sz="0" w:space="0" w:color="auto"/>
                <w:left w:val="none" w:sz="0" w:space="0" w:color="auto"/>
                <w:bottom w:val="none" w:sz="0" w:space="0" w:color="auto"/>
                <w:right w:val="none" w:sz="0" w:space="0" w:color="auto"/>
              </w:divBdr>
              <w:divsChild>
                <w:div w:id="1086808764">
                  <w:marLeft w:val="3304"/>
                  <w:marRight w:val="0"/>
                  <w:marTop w:val="0"/>
                  <w:marBottom w:val="0"/>
                  <w:divBdr>
                    <w:top w:val="none" w:sz="0" w:space="0" w:color="auto"/>
                    <w:left w:val="none" w:sz="0" w:space="0" w:color="auto"/>
                    <w:bottom w:val="none" w:sz="0" w:space="0" w:color="auto"/>
                    <w:right w:val="none" w:sz="0" w:space="0" w:color="auto"/>
                  </w:divBdr>
                  <w:divsChild>
                    <w:div w:id="2137941021">
                      <w:marLeft w:val="0"/>
                      <w:marRight w:val="-2711"/>
                      <w:marTop w:val="0"/>
                      <w:marBottom w:val="0"/>
                      <w:divBdr>
                        <w:top w:val="none" w:sz="0" w:space="0" w:color="auto"/>
                        <w:left w:val="none" w:sz="0" w:space="0" w:color="auto"/>
                        <w:bottom w:val="none" w:sz="0" w:space="0" w:color="auto"/>
                        <w:right w:val="none" w:sz="0" w:space="0" w:color="auto"/>
                      </w:divBdr>
                      <w:divsChild>
                        <w:div w:id="519130678">
                          <w:marLeft w:val="0"/>
                          <w:marRight w:val="3304"/>
                          <w:marTop w:val="0"/>
                          <w:marBottom w:val="0"/>
                          <w:divBdr>
                            <w:top w:val="none" w:sz="0" w:space="0" w:color="auto"/>
                            <w:left w:val="none" w:sz="0" w:space="0" w:color="auto"/>
                            <w:bottom w:val="none" w:sz="0" w:space="0" w:color="auto"/>
                            <w:right w:val="none" w:sz="0" w:space="0" w:color="auto"/>
                          </w:divBdr>
                          <w:divsChild>
                            <w:div w:id="1738742877">
                              <w:marLeft w:val="0"/>
                              <w:marRight w:val="0"/>
                              <w:marTop w:val="0"/>
                              <w:marBottom w:val="254"/>
                              <w:divBdr>
                                <w:top w:val="none" w:sz="0" w:space="0" w:color="auto"/>
                                <w:left w:val="none" w:sz="0" w:space="0" w:color="auto"/>
                                <w:bottom w:val="none" w:sz="0" w:space="0" w:color="auto"/>
                                <w:right w:val="none" w:sz="0" w:space="0" w:color="auto"/>
                              </w:divBdr>
                              <w:divsChild>
                                <w:div w:id="942879934">
                                  <w:marLeft w:val="0"/>
                                  <w:marRight w:val="0"/>
                                  <w:marTop w:val="0"/>
                                  <w:marBottom w:val="0"/>
                                  <w:divBdr>
                                    <w:top w:val="single" w:sz="6" w:space="0" w:color="A5D54B"/>
                                    <w:left w:val="single" w:sz="6" w:space="0" w:color="A5D54B"/>
                                    <w:bottom w:val="single" w:sz="6" w:space="0" w:color="A5D54B"/>
                                    <w:right w:val="single" w:sz="6" w:space="0" w:color="A5D54B"/>
                                  </w:divBdr>
                                  <w:divsChild>
                                    <w:div w:id="815023994">
                                      <w:marLeft w:val="0"/>
                                      <w:marRight w:val="0"/>
                                      <w:marTop w:val="0"/>
                                      <w:marBottom w:val="0"/>
                                      <w:divBdr>
                                        <w:top w:val="none" w:sz="0" w:space="0" w:color="auto"/>
                                        <w:left w:val="none" w:sz="0" w:space="0" w:color="auto"/>
                                        <w:bottom w:val="none" w:sz="0" w:space="0" w:color="auto"/>
                                        <w:right w:val="none" w:sz="0" w:space="0" w:color="auto"/>
                                      </w:divBdr>
                                      <w:divsChild>
                                        <w:div w:id="774056143">
                                          <w:marLeft w:val="0"/>
                                          <w:marRight w:val="0"/>
                                          <w:marTop w:val="0"/>
                                          <w:marBottom w:val="0"/>
                                          <w:divBdr>
                                            <w:top w:val="none" w:sz="0" w:space="0" w:color="auto"/>
                                            <w:left w:val="none" w:sz="0" w:space="0" w:color="auto"/>
                                            <w:bottom w:val="none" w:sz="0" w:space="0" w:color="auto"/>
                                            <w:right w:val="none" w:sz="0" w:space="0" w:color="auto"/>
                                          </w:divBdr>
                                          <w:divsChild>
                                            <w:div w:id="927034026">
                                              <w:marLeft w:val="0"/>
                                              <w:marRight w:val="0"/>
                                              <w:marTop w:val="0"/>
                                              <w:marBottom w:val="0"/>
                                              <w:divBdr>
                                                <w:top w:val="none" w:sz="0" w:space="0" w:color="auto"/>
                                                <w:left w:val="none" w:sz="0" w:space="0" w:color="auto"/>
                                                <w:bottom w:val="none" w:sz="0" w:space="0" w:color="auto"/>
                                                <w:right w:val="none" w:sz="0" w:space="0" w:color="auto"/>
                                              </w:divBdr>
                                              <w:divsChild>
                                                <w:div w:id="1747335610">
                                                  <w:marLeft w:val="0"/>
                                                  <w:marRight w:val="0"/>
                                                  <w:marTop w:val="0"/>
                                                  <w:marBottom w:val="0"/>
                                                  <w:divBdr>
                                                    <w:top w:val="none" w:sz="0" w:space="0" w:color="auto"/>
                                                    <w:left w:val="none" w:sz="0" w:space="0" w:color="auto"/>
                                                    <w:bottom w:val="none" w:sz="0" w:space="0" w:color="auto"/>
                                                    <w:right w:val="none" w:sz="0" w:space="0" w:color="auto"/>
                                                  </w:divBdr>
                                                  <w:divsChild>
                                                    <w:div w:id="995065090">
                                                      <w:marLeft w:val="0"/>
                                                      <w:marRight w:val="0"/>
                                                      <w:marTop w:val="0"/>
                                                      <w:marBottom w:val="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505</Words>
  <Characters>2880</Characters>
  <Application>Microsoft Office Word</Application>
  <DocSecurity>0</DocSecurity>
  <Lines>24</Lines>
  <Paragraphs>6</Paragraphs>
  <ScaleCrop>false</ScaleCrop>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100年11月23室內空氣品質管理法</dc:title>
  <dc:subject/>
  <dc:creator>cylo0420</dc:creator>
  <cp:keywords/>
  <dc:description/>
  <cp:lastModifiedBy>羅春雨</cp:lastModifiedBy>
  <cp:revision>2</cp:revision>
  <dcterms:created xsi:type="dcterms:W3CDTF">2013-03-18T07:05:00Z</dcterms:created>
  <dcterms:modified xsi:type="dcterms:W3CDTF">2013-03-18T07:05:00Z</dcterms:modified>
</cp:coreProperties>
</file>