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1" w:rsidRDefault="00A54180" w:rsidP="00FE6187">
      <w:pPr>
        <w:tabs>
          <w:tab w:val="left" w:pos="8958"/>
        </w:tabs>
        <w:snapToGrid w:val="0"/>
        <w:spacing w:line="240" w:lineRule="atLeast"/>
        <w:ind w:right="-42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CC7B50">
        <w:rPr>
          <w:rFonts w:ascii="標楷體" w:eastAsia="標楷體" w:hAnsi="標楷體" w:hint="eastAsia"/>
          <w:sz w:val="28"/>
          <w:szCs w:val="28"/>
        </w:rPr>
        <w:t>馬偕醫學院</w:t>
      </w:r>
      <w:r w:rsidR="00BC2BD1" w:rsidRPr="00CC7B50">
        <w:rPr>
          <w:rFonts w:ascii="標楷體" w:eastAsia="標楷體" w:hAnsi="標楷體" w:hint="eastAsia"/>
          <w:sz w:val="28"/>
          <w:szCs w:val="28"/>
        </w:rPr>
        <w:t>安全衛生自動檢查計畫</w:t>
      </w:r>
    </w:p>
    <w:p w:rsidR="007F6C1F" w:rsidRDefault="007F6C1F" w:rsidP="007F6C1F">
      <w:pPr>
        <w:tabs>
          <w:tab w:val="left" w:pos="8958"/>
        </w:tabs>
        <w:snapToGrid w:val="0"/>
        <w:spacing w:line="240" w:lineRule="atLeast"/>
        <w:ind w:right="-42"/>
        <w:jc w:val="right"/>
        <w:rPr>
          <w:rFonts w:ascii="標楷體" w:eastAsia="標楷體" w:hAnsi="標楷體" w:hint="eastAsia"/>
          <w:sz w:val="28"/>
          <w:szCs w:val="28"/>
        </w:rPr>
      </w:pPr>
      <w:r w:rsidRPr="00FE0142"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/>
        </w:rPr>
        <w:t>年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月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1日</w:t>
      </w:r>
      <w:r w:rsidRPr="00FE0142">
        <w:rPr>
          <w:rFonts w:ascii="標楷體" w:eastAsia="標楷體" w:hAnsi="標楷體" w:hint="eastAsia"/>
        </w:rPr>
        <w:t>99學年度第</w:t>
      </w:r>
      <w:r w:rsidR="00095339">
        <w:rPr>
          <w:rFonts w:ascii="標楷體" w:eastAsia="標楷體" w:hAnsi="標楷體" w:hint="eastAsia"/>
        </w:rPr>
        <w:t>3</w:t>
      </w:r>
      <w:r w:rsidRPr="00FE0142">
        <w:rPr>
          <w:rFonts w:ascii="標楷體" w:eastAsia="標楷體" w:hAnsi="標楷體" w:hint="eastAsia"/>
        </w:rPr>
        <w:t>次環安委員會通過</w:t>
      </w:r>
    </w:p>
    <w:p w:rsidR="00007C25" w:rsidRPr="00007C25" w:rsidRDefault="00007C25" w:rsidP="00007C25">
      <w:pPr>
        <w:snapToGrid w:val="0"/>
        <w:spacing w:line="400" w:lineRule="atLeast"/>
        <w:ind w:firstLineChars="1400" w:firstLine="3080"/>
        <w:rPr>
          <w:rFonts w:ascii="標楷體" w:eastAsia="標楷體" w:hAnsi="標楷體" w:cs="Arial" w:hint="eastAsia"/>
          <w:sz w:val="22"/>
          <w:szCs w:val="22"/>
        </w:rPr>
      </w:pP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依據：</w:t>
      </w:r>
    </w:p>
    <w:p w:rsidR="00BC2BD1" w:rsidRDefault="00BC2BD1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勞工安全</w:t>
      </w:r>
      <w:r>
        <w:rPr>
          <w:rFonts w:ascii="Arial" w:eastAsia="標楷體" w:hAnsi="Arial" w:cs="Arial" w:hint="eastAsia"/>
          <w:bCs/>
          <w:sz w:val="28"/>
        </w:rPr>
        <w:t>衛生</w:t>
      </w:r>
      <w:r>
        <w:rPr>
          <w:rFonts w:ascii="標楷體" w:eastAsia="標楷體" w:hAnsi="標楷體" w:hint="eastAsia"/>
          <w:sz w:val="28"/>
        </w:rPr>
        <w:t>法第十四條</w:t>
      </w:r>
      <w:r>
        <w:rPr>
          <w:rFonts w:ascii="標楷體" w:eastAsia="標楷體" w:hAnsi="標楷體" w:hint="eastAsia"/>
          <w:sz w:val="28"/>
          <w:szCs w:val="20"/>
        </w:rPr>
        <w:t>第二項</w:t>
      </w:r>
      <w:r w:rsidR="00D16BD2">
        <w:rPr>
          <w:rFonts w:ascii="標楷體" w:eastAsia="標楷體" w:hAnsi="標楷體" w:hint="eastAsia"/>
          <w:sz w:val="28"/>
          <w:szCs w:val="20"/>
        </w:rPr>
        <w:t>。</w:t>
      </w:r>
    </w:p>
    <w:p w:rsidR="00BC2BD1" w:rsidRPr="00236691" w:rsidRDefault="00BC2BD1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hint="eastAsia"/>
          <w:color w:val="000000"/>
          <w:sz w:val="28"/>
        </w:rPr>
      </w:pPr>
      <w:r w:rsidRPr="00236691">
        <w:rPr>
          <w:rFonts w:ascii="標楷體" w:eastAsia="標楷體" w:hAnsi="標楷體" w:hint="eastAsia"/>
          <w:color w:val="000000"/>
          <w:sz w:val="28"/>
          <w:szCs w:val="20"/>
        </w:rPr>
        <w:t>勞工安全衛生組織管理及自動檢查辦法。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目的：</w:t>
      </w:r>
    </w:p>
    <w:p w:rsidR="00BC2BD1" w:rsidRDefault="00BC2BD1">
      <w:pPr>
        <w:numPr>
          <w:ilvl w:val="0"/>
          <w:numId w:val="10"/>
        </w:numPr>
        <w:snapToGrid w:val="0"/>
        <w:spacing w:line="240" w:lineRule="atLeast"/>
        <w:rPr>
          <w:rFonts w:ascii="標楷體" w:eastAsia="標楷體" w:hAnsi="標楷體" w:hint="eastAsia"/>
          <w:sz w:val="28"/>
          <w:szCs w:val="20"/>
        </w:rPr>
      </w:pPr>
      <w:r>
        <w:rPr>
          <w:rFonts w:ascii="Arial" w:eastAsia="標楷體" w:hAnsi="Arial" w:cs="Arial" w:hint="eastAsia"/>
          <w:bCs/>
          <w:sz w:val="28"/>
        </w:rPr>
        <w:t>藉由定期</w:t>
      </w:r>
      <w:r>
        <w:rPr>
          <w:rFonts w:ascii="標楷體" w:eastAsia="標楷體" w:hAnsi="標楷體" w:hint="eastAsia"/>
          <w:sz w:val="28"/>
          <w:szCs w:val="20"/>
        </w:rPr>
        <w:t>主動檢查安全衛生事項，</w:t>
      </w:r>
      <w:r>
        <w:rPr>
          <w:rFonts w:ascii="Arial" w:eastAsia="標楷體" w:hAnsi="Arial" w:cs="Arial" w:hint="eastAsia"/>
          <w:bCs/>
          <w:sz w:val="28"/>
        </w:rPr>
        <w:t>預先發現不安全與不衛生因素，並設法消除或控制，以防止災害發生，</w:t>
      </w:r>
      <w:r>
        <w:rPr>
          <w:rFonts w:ascii="標楷體" w:eastAsia="標楷體" w:hAnsi="標楷體" w:hint="eastAsia"/>
          <w:sz w:val="28"/>
        </w:rPr>
        <w:t>保障人員安全與健康。</w:t>
      </w:r>
    </w:p>
    <w:p w:rsidR="00BC2BD1" w:rsidRDefault="00BC2BD1">
      <w:pPr>
        <w:numPr>
          <w:ilvl w:val="0"/>
          <w:numId w:val="10"/>
        </w:numPr>
        <w:snapToGrid w:val="0"/>
        <w:spacing w:line="240" w:lineRule="atLeast"/>
        <w:rPr>
          <w:rFonts w:ascii="Arial" w:eastAsia="標楷體" w:hAnsi="Arial" w:cs="Arial" w:hint="eastAsia"/>
          <w:bCs/>
          <w:sz w:val="28"/>
        </w:rPr>
      </w:pPr>
      <w:r>
        <w:rPr>
          <w:rFonts w:ascii="標楷體" w:eastAsia="標楷體" w:hAnsi="標楷體" w:hint="eastAsia"/>
          <w:sz w:val="28"/>
          <w:szCs w:val="20"/>
        </w:rPr>
        <w:t>改進不</w:t>
      </w:r>
      <w:r>
        <w:rPr>
          <w:rFonts w:ascii="Arial" w:eastAsia="標楷體" w:hAnsi="Arial" w:cs="Arial" w:hint="eastAsia"/>
          <w:bCs/>
          <w:sz w:val="28"/>
        </w:rPr>
        <w:t>安全與不衛生的工作環境、機械設備及動作行為，宣示校方關心</w:t>
      </w:r>
      <w:r>
        <w:rPr>
          <w:rFonts w:ascii="Arial" w:eastAsia="標楷體" w:hAnsi="Arial" w:cs="Arial"/>
          <w:bCs/>
          <w:sz w:val="28"/>
        </w:rPr>
        <w:t>教職員工生的安全與健康</w:t>
      </w:r>
      <w:r>
        <w:rPr>
          <w:rFonts w:ascii="Arial" w:eastAsia="標楷體" w:hAnsi="Arial" w:cs="Arial" w:hint="eastAsia"/>
          <w:bCs/>
          <w:sz w:val="28"/>
        </w:rPr>
        <w:t>。</w:t>
      </w:r>
    </w:p>
    <w:p w:rsidR="00BC2BD1" w:rsidRDefault="00BC2BD1">
      <w:pPr>
        <w:numPr>
          <w:ilvl w:val="0"/>
          <w:numId w:val="10"/>
        </w:numPr>
        <w:snapToGrid w:val="0"/>
        <w:spacing w:line="240" w:lineRule="atLeast"/>
        <w:rPr>
          <w:rFonts w:ascii="標楷體" w:eastAsia="標楷體" w:hAnsi="標楷體" w:hint="eastAsia"/>
          <w:sz w:val="28"/>
          <w:szCs w:val="20"/>
        </w:rPr>
      </w:pPr>
      <w:r>
        <w:rPr>
          <w:rFonts w:ascii="Arial" w:eastAsia="標楷體" w:hAnsi="Arial" w:cs="Arial" w:hint="eastAsia"/>
          <w:bCs/>
          <w:sz w:val="28"/>
        </w:rPr>
        <w:t>建立各種</w:t>
      </w:r>
      <w:r>
        <w:rPr>
          <w:rFonts w:ascii="標楷體" w:eastAsia="標楷體" w:hAnsi="標楷體" w:hint="eastAsia"/>
          <w:sz w:val="28"/>
          <w:szCs w:val="20"/>
        </w:rPr>
        <w:t>機械設備良好之檢查、保養制度，增進人員作業安全，並延長機械設備使用年限。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權責：</w:t>
      </w:r>
    </w:p>
    <w:p w:rsidR="004C62E1" w:rsidRDefault="00BC2BD1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環安</w:t>
      </w:r>
      <w:r w:rsidR="00236691" w:rsidRPr="00236691">
        <w:rPr>
          <w:rFonts w:ascii="標楷體" w:eastAsia="標楷體" w:hAnsi="標楷體" w:hint="eastAsia"/>
          <w:color w:val="000000"/>
          <w:sz w:val="28"/>
        </w:rPr>
        <w:t>組</w:t>
      </w:r>
      <w:r>
        <w:rPr>
          <w:rFonts w:ascii="標楷體" w:eastAsia="標楷體" w:hAnsi="標楷體" w:hint="eastAsia"/>
          <w:sz w:val="28"/>
        </w:rPr>
        <w:t>訂定自動檢查表範本，放置於環安</w:t>
      </w:r>
      <w:r w:rsidR="00236691" w:rsidRPr="00236691">
        <w:rPr>
          <w:rFonts w:ascii="標楷體" w:eastAsia="標楷體" w:hAnsi="標楷體" w:hint="eastAsia"/>
          <w:color w:val="000000"/>
          <w:sz w:val="28"/>
        </w:rPr>
        <w:t>組</w:t>
      </w:r>
      <w:r w:rsidRPr="00236691">
        <w:rPr>
          <w:rFonts w:ascii="標楷體" w:eastAsia="標楷體" w:hAnsi="標楷體" w:hint="eastAsia"/>
          <w:color w:val="000000"/>
          <w:sz w:val="28"/>
        </w:rPr>
        <w:t>網頁</w:t>
      </w:r>
      <w:r>
        <w:rPr>
          <w:rFonts w:ascii="標楷體" w:eastAsia="標楷體" w:hAnsi="標楷體" w:hint="eastAsia"/>
          <w:sz w:val="28"/>
        </w:rPr>
        <w:t>，各單位依實驗場所性質，訂定適用之自動檢查項目，作業流程圖如附表。</w:t>
      </w:r>
    </w:p>
    <w:p w:rsidR="00BC2BD1" w:rsidRDefault="00BC2BD1" w:rsidP="003F4DBB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 w:rsidRPr="00236691">
        <w:rPr>
          <w:rFonts w:ascii="標楷體" w:eastAsia="標楷體" w:hAnsi="標楷體" w:hint="eastAsia"/>
          <w:color w:val="000000"/>
          <w:sz w:val="28"/>
        </w:rPr>
        <w:t>單位</w:t>
      </w:r>
      <w:r w:rsidR="003F4DBB" w:rsidRPr="00236691">
        <w:rPr>
          <w:rFonts w:ascii="標楷體" w:eastAsia="標楷體" w:hAnsi="標楷體" w:hint="eastAsia"/>
          <w:color w:val="000000"/>
          <w:sz w:val="28"/>
        </w:rPr>
        <w:t>安全衛生人員</w:t>
      </w:r>
      <w:r>
        <w:rPr>
          <w:rFonts w:ascii="標楷體" w:eastAsia="標楷體" w:hAnsi="標楷體" w:hint="eastAsia"/>
          <w:sz w:val="28"/>
        </w:rPr>
        <w:t>督導</w:t>
      </w:r>
      <w:r w:rsidR="003F4DBB" w:rsidRPr="00236691">
        <w:rPr>
          <w:rFonts w:ascii="標楷體" w:eastAsia="標楷體" w:hAnsi="標楷體" w:hint="eastAsia"/>
          <w:color w:val="000000"/>
          <w:sz w:val="28"/>
        </w:rPr>
        <w:t>實驗場所</w:t>
      </w:r>
      <w:r>
        <w:rPr>
          <w:rFonts w:ascii="標楷體" w:eastAsia="標楷體" w:hAnsi="標楷體"/>
          <w:sz w:val="28"/>
        </w:rPr>
        <w:t>實施</w:t>
      </w:r>
      <w:r>
        <w:rPr>
          <w:rFonts w:ascii="標楷體" w:eastAsia="標楷體" w:hAnsi="標楷體" w:hint="eastAsia"/>
          <w:sz w:val="28"/>
        </w:rPr>
        <w:t>自動檢查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檢查</w:t>
      </w:r>
      <w:r>
        <w:rPr>
          <w:rFonts w:ascii="標楷體" w:eastAsia="標楷體" w:hAnsi="標楷體"/>
          <w:sz w:val="28"/>
        </w:rPr>
        <w:t>紀錄</w:t>
      </w:r>
      <w:r>
        <w:rPr>
          <w:rFonts w:ascii="標楷體" w:eastAsia="標楷體" w:hAnsi="標楷體" w:hint="eastAsia"/>
          <w:sz w:val="28"/>
        </w:rPr>
        <w:t>應留存三年以上</w:t>
      </w:r>
      <w:r>
        <w:rPr>
          <w:rFonts w:ascii="標楷體" w:eastAsia="標楷體" w:hAnsi="標楷體"/>
          <w:sz w:val="28"/>
        </w:rPr>
        <w:t>。</w:t>
      </w:r>
    </w:p>
    <w:p w:rsidR="00BC2BD1" w:rsidRDefault="00BC2BD1">
      <w:pPr>
        <w:numPr>
          <w:ilvl w:val="0"/>
          <w:numId w:val="11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環</w:t>
      </w:r>
      <w:r>
        <w:rPr>
          <w:rFonts w:ascii="標楷體" w:eastAsia="標楷體" w:hAnsi="標楷體" w:hint="eastAsia"/>
          <w:sz w:val="28"/>
          <w:szCs w:val="20"/>
        </w:rPr>
        <w:t>安</w:t>
      </w:r>
      <w:r w:rsidR="00236691" w:rsidRPr="00236691">
        <w:rPr>
          <w:rFonts w:ascii="標楷體" w:eastAsia="標楷體" w:hAnsi="標楷體" w:hint="eastAsia"/>
          <w:color w:val="000000"/>
          <w:sz w:val="28"/>
          <w:szCs w:val="20"/>
        </w:rPr>
        <w:t>組</w:t>
      </w:r>
      <w:r>
        <w:rPr>
          <w:rFonts w:ascii="標楷體" w:eastAsia="標楷體" w:hAnsi="標楷體" w:hint="eastAsia"/>
          <w:sz w:val="28"/>
          <w:szCs w:val="20"/>
        </w:rPr>
        <w:t>巡訪各實驗室，彙整各單位自動檢查紀錄建檔管理。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安全衛生自動檢查表應紀錄下列事項：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檢查年、月、日。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檢查方法。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檢查部分。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檢查結果。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實施檢查者姓名。</w:t>
      </w:r>
    </w:p>
    <w:p w:rsidR="00BC2BD1" w:rsidRDefault="00BC2BD1">
      <w:pPr>
        <w:numPr>
          <w:ilvl w:val="0"/>
          <w:numId w:val="12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依檢查結果採取改善措施之內容。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發現不安全狀態處置要點：</w:t>
      </w:r>
    </w:p>
    <w:p w:rsidR="00BC2BD1" w:rsidRDefault="00BC2BD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能夠自行處理者，應立即改善。</w:t>
      </w:r>
    </w:p>
    <w:p w:rsidR="00BC2BD1" w:rsidRDefault="00BC2BD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不能立即改善者，應於</w:t>
      </w:r>
      <w:r w:rsidRPr="00236691">
        <w:rPr>
          <w:rFonts w:ascii="標楷體" w:eastAsia="標楷體" w:hAnsi="標楷體" w:hint="eastAsia"/>
          <w:color w:val="000000"/>
          <w:sz w:val="28"/>
        </w:rPr>
        <w:t>明顯處</w:t>
      </w:r>
      <w:r>
        <w:rPr>
          <w:rFonts w:ascii="標楷體" w:eastAsia="標楷體" w:hAnsi="標楷體" w:hint="eastAsia"/>
          <w:sz w:val="28"/>
        </w:rPr>
        <w:t>標示危險警告，防止他人誤用，並陳報有關單位處理。</w:t>
      </w:r>
    </w:p>
    <w:p w:rsidR="00BC2BD1" w:rsidRDefault="00BC2BD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有發生災害之虞者，應立即停止作業，並使人員退避至安全處所，緊急向上陳報。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專業技術(如升降機、</w:t>
      </w:r>
      <w:r>
        <w:rPr>
          <w:rFonts w:eastAsia="標楷體" w:hint="eastAsia"/>
          <w:sz w:val="28"/>
        </w:rPr>
        <w:t>高壓電氣設備等</w:t>
      </w:r>
      <w:r>
        <w:rPr>
          <w:rFonts w:eastAsia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安全衛生檢查委請專業廠商實施，中央主管機關指定之危險性機械設備（如第一壓力容器）應委請檢查機構定期檢查，經檢查合格取得合格證後才能使用。使用超過規定期間者，非經再檢查合格不得繼續使用。</w:t>
      </w:r>
    </w:p>
    <w:p w:rsidR="00BC2BD1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0"/>
        </w:rPr>
        <w:t>依據勞工安全衛生組織管理及自動檢查辦法規定，列舉本校使用之</w:t>
      </w:r>
      <w:r>
        <w:rPr>
          <w:rFonts w:ascii="標楷體" w:eastAsia="標楷體" w:hAnsi="標楷體" w:hint="eastAsia"/>
          <w:sz w:val="28"/>
        </w:rPr>
        <w:lastRenderedPageBreak/>
        <w:t>機械設備</w:t>
      </w:r>
      <w:r>
        <w:rPr>
          <w:rFonts w:ascii="標楷體" w:eastAsia="標楷體" w:hAnsi="標楷體" w:hint="eastAsia"/>
          <w:sz w:val="28"/>
          <w:szCs w:val="20"/>
        </w:rPr>
        <w:t>種類，訂定</w:t>
      </w:r>
      <w:r>
        <w:rPr>
          <w:rFonts w:eastAsia="標楷體" w:hint="eastAsia"/>
          <w:sz w:val="28"/>
        </w:rPr>
        <w:t>安全衛生自動檢查項目如后：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281"/>
        <w:gridCol w:w="1198"/>
        <w:gridCol w:w="4094"/>
        <w:gridCol w:w="1066"/>
      </w:tblGrid>
      <w:tr w:rsidR="00BC2BD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75" w:type="dxa"/>
            <w:vAlign w:val="center"/>
          </w:tcPr>
          <w:p w:rsidR="00BC2BD1" w:rsidRDefault="00BC2BD1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機械設備</w:t>
            </w:r>
          </w:p>
        </w:tc>
        <w:tc>
          <w:tcPr>
            <w:tcW w:w="1281" w:type="dxa"/>
            <w:vAlign w:val="center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檢查種類</w:t>
            </w:r>
          </w:p>
        </w:tc>
        <w:tc>
          <w:tcPr>
            <w:tcW w:w="1198" w:type="dxa"/>
            <w:vAlign w:val="center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週期</w:t>
            </w:r>
          </w:p>
        </w:tc>
        <w:tc>
          <w:tcPr>
            <w:tcW w:w="4094" w:type="dxa"/>
            <w:vAlign w:val="center"/>
          </w:tcPr>
          <w:p w:rsidR="00BC2BD1" w:rsidRDefault="00BC2BD1">
            <w:pPr>
              <w:snapToGrid w:val="0"/>
              <w:spacing w:line="240" w:lineRule="atLeast"/>
              <w:ind w:left="340" w:right="3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檢查項目</w:t>
            </w:r>
          </w:p>
        </w:tc>
        <w:tc>
          <w:tcPr>
            <w:tcW w:w="1066" w:type="dxa"/>
            <w:vAlign w:val="center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離心機械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第十八條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236691" w:rsidRDefault="0023669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迴</w:t>
            </w:r>
            <w:r w:rsidR="00BC2BD1" w:rsidRPr="00236691">
              <w:rPr>
                <w:rFonts w:eastAsia="標楷體" w:hint="eastAsia"/>
                <w:color w:val="000000"/>
                <w:sz w:val="28"/>
              </w:rPr>
              <w:t>轉體。</w:t>
            </w:r>
          </w:p>
          <w:p w:rsidR="00BC2BD1" w:rsidRPr="00236691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主軸軸承。</w:t>
            </w:r>
          </w:p>
          <w:p w:rsidR="00BC2BD1" w:rsidRPr="00236691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制動器。</w:t>
            </w:r>
          </w:p>
          <w:p w:rsidR="00BC2BD1" w:rsidRPr="00236691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外殼。</w:t>
            </w:r>
          </w:p>
          <w:p w:rsidR="00FF1184" w:rsidRPr="00236691" w:rsidRDefault="00FF1184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配線、接地線、電源開關。</w:t>
            </w:r>
          </w:p>
          <w:p w:rsidR="00BC2BD1" w:rsidRPr="00236691" w:rsidRDefault="00FF1184">
            <w:pPr>
              <w:numPr>
                <w:ilvl w:val="0"/>
                <w:numId w:val="3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設備</w:t>
            </w:r>
            <w:r w:rsidR="00BC2BD1" w:rsidRPr="00236691">
              <w:rPr>
                <w:rFonts w:eastAsia="標楷體" w:hint="eastAsia"/>
                <w:color w:val="000000"/>
                <w:sz w:val="28"/>
              </w:rPr>
              <w:t>之附屬螺栓。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FF1184" w:rsidRPr="003B2FD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75" w:type="dxa"/>
          </w:tcPr>
          <w:p w:rsidR="00FF1184" w:rsidRPr="00236691" w:rsidRDefault="003B2FD2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大型</w:t>
            </w:r>
            <w:r w:rsidR="000E4917"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鍋爐</w:t>
            </w:r>
          </w:p>
        </w:tc>
        <w:tc>
          <w:tcPr>
            <w:tcW w:w="1281" w:type="dxa"/>
          </w:tcPr>
          <w:p w:rsidR="00FF1184" w:rsidRPr="00236691" w:rsidRDefault="000E49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定期檢查</w:t>
            </w:r>
          </w:p>
          <w:p w:rsidR="000E4917" w:rsidRPr="00236691" w:rsidRDefault="000E491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(第三十二條)</w:t>
            </w:r>
          </w:p>
        </w:tc>
        <w:tc>
          <w:tcPr>
            <w:tcW w:w="1198" w:type="dxa"/>
          </w:tcPr>
          <w:p w:rsidR="00FF1184" w:rsidRPr="00236691" w:rsidRDefault="00030137">
            <w:pPr>
              <w:snapToGrid w:val="0"/>
              <w:spacing w:line="240" w:lineRule="atLeast"/>
              <w:ind w:left="227" w:right="22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每月</w:t>
            </w:r>
          </w:p>
        </w:tc>
        <w:tc>
          <w:tcPr>
            <w:tcW w:w="4094" w:type="dxa"/>
          </w:tcPr>
          <w:p w:rsidR="00FF1184" w:rsidRPr="00236691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/>
                <w:color w:val="000000"/>
                <w:sz w:val="28"/>
                <w:szCs w:val="28"/>
              </w:rPr>
              <w:t>鍋爐本體有無損傷。</w:t>
            </w:r>
          </w:p>
          <w:p w:rsidR="00030137" w:rsidRPr="00236691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/>
                <w:color w:val="000000"/>
                <w:sz w:val="28"/>
                <w:szCs w:val="28"/>
              </w:rPr>
              <w:t>燃燒裝置：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1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油加熱器及燃料輸送裝置有無損傷。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2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噴燃器有無損傷及污髒。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3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過濾器有無堵塞或損傷。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Chars="33" w:left="300" w:right="57" w:hangingChars="79" w:hanging="221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4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燃燒器瓷質部及爐壁有無污髒及損傷。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5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加煤機及爐篦有無損傷。</w:t>
            </w:r>
          </w:p>
          <w:p w:rsidR="00030137" w:rsidRPr="00236691" w:rsidRDefault="00030137" w:rsidP="00682F8A">
            <w:pPr>
              <w:snapToGrid w:val="0"/>
              <w:spacing w:line="240" w:lineRule="atLeast"/>
              <w:ind w:leftChars="27" w:left="275" w:rightChars="24" w:right="58" w:hanging="21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6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煙道有無洩漏、損傷及風壓異常。</w:t>
            </w:r>
          </w:p>
          <w:p w:rsidR="00030137" w:rsidRPr="00236691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/>
                <w:color w:val="000000"/>
                <w:sz w:val="28"/>
                <w:szCs w:val="28"/>
              </w:rPr>
              <w:t>自動控制裝置：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Chars="28" w:left="285" w:right="57" w:hangingChars="78" w:hanging="21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1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自動起動停止裝置、火焰檢出裝置、燃料切斷裝置、水位調節裝置、壓力調節裝置機能有無異常。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2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電氣配線端子有無異常。</w:t>
            </w:r>
          </w:p>
          <w:p w:rsidR="00030137" w:rsidRPr="00236691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附屬裝置及附屬品：</w:t>
            </w:r>
          </w:p>
          <w:p w:rsidR="00030137" w:rsidRPr="00236691" w:rsidRDefault="00030137" w:rsidP="00193B67">
            <w:pPr>
              <w:snapToGrid w:val="0"/>
              <w:spacing w:line="240" w:lineRule="atLeast"/>
              <w:ind w:leftChars="22" w:left="285" w:right="57" w:hangingChars="83" w:hanging="232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1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給水裝置有無損傷及作動狀態。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Chars="17" w:left="307" w:rightChars="24" w:right="58" w:hanging="26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2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蒸汽管及停止閥有無損傷及保溫狀態。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3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空氣預熱器有無損傷。</w:t>
            </w:r>
          </w:p>
          <w:p w:rsidR="00030137" w:rsidRPr="00236691" w:rsidRDefault="00030137" w:rsidP="00030137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4"/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水處理裝置機能有無異常。</w:t>
            </w:r>
          </w:p>
        </w:tc>
        <w:tc>
          <w:tcPr>
            <w:tcW w:w="1066" w:type="dxa"/>
          </w:tcPr>
          <w:p w:rsidR="00FF1184" w:rsidRPr="003B2FD2" w:rsidRDefault="00FF1184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</w:pPr>
          </w:p>
        </w:tc>
      </w:tr>
      <w:tr w:rsidR="003B2FD2" w:rsidRPr="003B2FD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75" w:type="dxa"/>
          </w:tcPr>
          <w:p w:rsidR="003B2FD2" w:rsidRPr="00236691" w:rsidRDefault="003B2FD2" w:rsidP="009C7583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小型</w:t>
            </w: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鍋爐</w:t>
            </w:r>
          </w:p>
        </w:tc>
        <w:tc>
          <w:tcPr>
            <w:tcW w:w="1281" w:type="dxa"/>
          </w:tcPr>
          <w:p w:rsidR="003B2FD2" w:rsidRPr="00236691" w:rsidRDefault="003B2FD2" w:rsidP="009C75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定期檢查</w:t>
            </w:r>
          </w:p>
          <w:p w:rsidR="003B2FD2" w:rsidRPr="00236691" w:rsidRDefault="003B2FD2" w:rsidP="009C758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(第三十四條)</w:t>
            </w:r>
          </w:p>
        </w:tc>
        <w:tc>
          <w:tcPr>
            <w:tcW w:w="1198" w:type="dxa"/>
          </w:tcPr>
          <w:p w:rsidR="003B2FD2" w:rsidRPr="00236691" w:rsidRDefault="003B2FD2" w:rsidP="009C7583">
            <w:pPr>
              <w:snapToGrid w:val="0"/>
              <w:spacing w:line="240" w:lineRule="atLeast"/>
              <w:ind w:left="227" w:right="22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每年</w:t>
            </w:r>
          </w:p>
          <w:p w:rsidR="003B2FD2" w:rsidRPr="00236691" w:rsidRDefault="003B2FD2" w:rsidP="009C7583">
            <w:pPr>
              <w:snapToGrid w:val="0"/>
              <w:spacing w:line="240" w:lineRule="atLeast"/>
              <w:ind w:left="227" w:right="22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</w:tcPr>
          <w:p w:rsidR="003B2FD2" w:rsidRPr="00236691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/>
                <w:color w:val="000000"/>
                <w:sz w:val="28"/>
                <w:szCs w:val="28"/>
              </w:rPr>
              <w:t>鍋爐本體有無損傷。</w:t>
            </w:r>
          </w:p>
          <w:p w:rsidR="003B2FD2" w:rsidRPr="00236691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/>
                <w:color w:val="000000"/>
                <w:sz w:val="28"/>
                <w:szCs w:val="28"/>
              </w:rPr>
              <w:t>燃燒裝置</w:t>
            </w:r>
            <w:r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有無異常</w:t>
            </w:r>
          </w:p>
          <w:p w:rsidR="003B2FD2" w:rsidRPr="00236691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自動控制裝置有無異常。</w:t>
            </w:r>
          </w:p>
          <w:p w:rsidR="003B2FD2" w:rsidRPr="00236691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附屬裝置及附屬品性能是否正常。</w:t>
            </w:r>
          </w:p>
          <w:p w:rsidR="003B2FD2" w:rsidRPr="00236691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其他保持性能必要事項。</w:t>
            </w:r>
          </w:p>
        </w:tc>
        <w:tc>
          <w:tcPr>
            <w:tcW w:w="1066" w:type="dxa"/>
          </w:tcPr>
          <w:p w:rsidR="003B2FD2" w:rsidRPr="003B2FD2" w:rsidRDefault="003B2FD2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第一種</w:t>
            </w:r>
          </w:p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壓力容器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第三十三條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每月</w:t>
            </w:r>
          </w:p>
        </w:tc>
        <w:tc>
          <w:tcPr>
            <w:tcW w:w="4094" w:type="dxa"/>
          </w:tcPr>
          <w:p w:rsidR="00BC2BD1" w:rsidRPr="00236691" w:rsidRDefault="00BC2BD1">
            <w:pPr>
              <w:numPr>
                <w:ilvl w:val="0"/>
                <w:numId w:val="4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本體有無損傷。</w:t>
            </w:r>
          </w:p>
          <w:p w:rsidR="00BC2BD1" w:rsidRPr="00236691" w:rsidRDefault="00BC2BD1">
            <w:pPr>
              <w:numPr>
                <w:ilvl w:val="0"/>
                <w:numId w:val="4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蓋板螺栓有無損耗。</w:t>
            </w:r>
          </w:p>
          <w:p w:rsidR="00BC2BD1" w:rsidRPr="00236691" w:rsidRDefault="00BC2BD1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管及閥等有無損傷。</w:t>
            </w:r>
          </w:p>
          <w:p w:rsidR="003B2FD2" w:rsidRPr="00236691" w:rsidRDefault="003B2FD2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壓力表及溫度計及其他安全裝置有無損傷。</w:t>
            </w:r>
          </w:p>
          <w:p w:rsidR="003B2FD2" w:rsidRPr="00236691" w:rsidRDefault="003B2FD2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平台支架有無嚴重腐蝕。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第二</w:t>
            </w:r>
            <w:r>
              <w:rPr>
                <w:rFonts w:ascii="標楷體" w:eastAsia="標楷體" w:hint="eastAsia"/>
                <w:sz w:val="28"/>
              </w:rPr>
              <w:t>種</w:t>
            </w:r>
          </w:p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壓力容器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第三十五條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7F497F" w:rsidRPr="00236691" w:rsidRDefault="00BC2BD1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內面及外面</w:t>
            </w:r>
            <w:r w:rsidR="007F497F" w:rsidRPr="00236691">
              <w:rPr>
                <w:rFonts w:eastAsia="標楷體" w:hint="eastAsia"/>
                <w:color w:val="000000"/>
                <w:sz w:val="28"/>
              </w:rPr>
              <w:t>有無</w:t>
            </w:r>
            <w:r w:rsidRPr="00236691">
              <w:rPr>
                <w:rFonts w:eastAsia="標楷體" w:hint="eastAsia"/>
                <w:color w:val="000000"/>
                <w:sz w:val="28"/>
              </w:rPr>
              <w:t>顯著損傷、裂痕、變形及腐蝕。</w:t>
            </w:r>
          </w:p>
          <w:p w:rsidR="00BC2BD1" w:rsidRPr="00236691" w:rsidRDefault="007F497F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蓋、凸緣、閥、旋塞等有無異常</w:t>
            </w:r>
            <w:r w:rsidR="00BC2BD1" w:rsidRPr="0023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BC2BD1" w:rsidRPr="00236691" w:rsidRDefault="00BC2BD1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安全閥、壓力表與其他安全裝置之性能有</w:t>
            </w:r>
            <w:r w:rsidR="007F497F" w:rsidRPr="00236691">
              <w:rPr>
                <w:rFonts w:eastAsia="標楷體" w:hint="eastAsia"/>
                <w:color w:val="000000"/>
                <w:sz w:val="28"/>
              </w:rPr>
              <w:t>無</w:t>
            </w:r>
            <w:r w:rsidRPr="00236691">
              <w:rPr>
                <w:rFonts w:eastAsia="標楷體" w:hint="eastAsia"/>
                <w:color w:val="000000"/>
                <w:sz w:val="28"/>
              </w:rPr>
              <w:t>異常。</w:t>
            </w:r>
          </w:p>
          <w:p w:rsidR="00BC2BD1" w:rsidRPr="00236691" w:rsidRDefault="00BC2BD1">
            <w:pPr>
              <w:numPr>
                <w:ilvl w:val="0"/>
                <w:numId w:val="5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其他保持性能</w:t>
            </w:r>
            <w:r w:rsidR="007F497F" w:rsidRPr="00236691">
              <w:rPr>
                <w:rFonts w:eastAsia="標楷體" w:hint="eastAsia"/>
                <w:color w:val="000000"/>
                <w:sz w:val="28"/>
              </w:rPr>
              <w:t>之</w:t>
            </w:r>
            <w:r w:rsidRPr="00236691">
              <w:rPr>
                <w:rFonts w:eastAsia="標楷體" w:hint="eastAsia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小型壓力容器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第三十六條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236691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本體有無損傷。</w:t>
            </w:r>
          </w:p>
          <w:p w:rsidR="00BC2BD1" w:rsidRPr="00236691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蓋板螺旋有</w:t>
            </w:r>
            <w:r w:rsidR="00D839FD" w:rsidRPr="00236691">
              <w:rPr>
                <w:rFonts w:eastAsia="標楷體" w:hint="eastAsia"/>
                <w:color w:val="000000"/>
                <w:sz w:val="28"/>
              </w:rPr>
              <w:t>無</w:t>
            </w:r>
            <w:r w:rsidRPr="00236691">
              <w:rPr>
                <w:rFonts w:eastAsia="標楷體" w:hint="eastAsia"/>
                <w:color w:val="000000"/>
                <w:sz w:val="28"/>
              </w:rPr>
              <w:t>異常。</w:t>
            </w:r>
          </w:p>
          <w:p w:rsidR="00BC2BD1" w:rsidRPr="00236691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管及閥等有</w:t>
            </w:r>
            <w:r w:rsidR="00D839FD" w:rsidRPr="00236691">
              <w:rPr>
                <w:rFonts w:eastAsia="標楷體" w:hint="eastAsia"/>
                <w:color w:val="000000"/>
                <w:sz w:val="28"/>
              </w:rPr>
              <w:t>無</w:t>
            </w:r>
            <w:r w:rsidRPr="00236691">
              <w:rPr>
                <w:rFonts w:eastAsia="標楷體" w:hint="eastAsia"/>
                <w:color w:val="000000"/>
                <w:sz w:val="28"/>
              </w:rPr>
              <w:t>異常。</w:t>
            </w:r>
          </w:p>
          <w:p w:rsidR="00BC2BD1" w:rsidRPr="00236691" w:rsidRDefault="00BC2BD1">
            <w:pPr>
              <w:numPr>
                <w:ilvl w:val="0"/>
                <w:numId w:val="6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其他保持性能</w:t>
            </w:r>
            <w:r w:rsidR="00D839FD" w:rsidRPr="00236691">
              <w:rPr>
                <w:rFonts w:eastAsia="標楷體" w:hint="eastAsia"/>
                <w:color w:val="000000"/>
                <w:sz w:val="28"/>
              </w:rPr>
              <w:t>之</w:t>
            </w:r>
            <w:r w:rsidRPr="00236691">
              <w:rPr>
                <w:rFonts w:eastAsia="標楷體" w:hint="eastAsia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乾燥設備及其附屬設備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第二十七條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236691" w:rsidRDefault="002B0F55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內面、外面及外部之棚</w:t>
            </w:r>
            <w:r w:rsidR="00BC2BD1" w:rsidRPr="00236691">
              <w:rPr>
                <w:rFonts w:eastAsia="標楷體" w:hint="eastAsia"/>
                <w:color w:val="000000"/>
                <w:sz w:val="28"/>
              </w:rPr>
              <w:t>櫃等有</w:t>
            </w:r>
            <w:r w:rsidRPr="00236691">
              <w:rPr>
                <w:rFonts w:eastAsia="標楷體" w:hint="eastAsia"/>
                <w:color w:val="000000"/>
                <w:sz w:val="28"/>
              </w:rPr>
              <w:t>無</w:t>
            </w:r>
            <w:r w:rsidR="00BC2BD1" w:rsidRPr="00236691">
              <w:rPr>
                <w:rFonts w:eastAsia="標楷體" w:hint="eastAsia"/>
                <w:color w:val="000000"/>
                <w:sz w:val="28"/>
              </w:rPr>
              <w:t>損傷、變形或腐蝕。</w:t>
            </w:r>
          </w:p>
          <w:p w:rsidR="00BC2BD1" w:rsidRPr="00236691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危險物之乾燥設備中，排出因乾燥產生之氣體、蒸氣或粉塵等</w:t>
            </w:r>
            <w:r w:rsidR="002B0F55" w:rsidRPr="00236691">
              <w:rPr>
                <w:rFonts w:eastAsia="標楷體" w:hint="eastAsia"/>
                <w:color w:val="000000"/>
                <w:sz w:val="28"/>
              </w:rPr>
              <w:t>之</w:t>
            </w:r>
            <w:r w:rsidRPr="00236691">
              <w:rPr>
                <w:rFonts w:eastAsia="標楷體" w:hint="eastAsia"/>
                <w:color w:val="000000"/>
                <w:sz w:val="28"/>
              </w:rPr>
              <w:t>設備有無異常。</w:t>
            </w:r>
          </w:p>
          <w:p w:rsidR="00BC2BD1" w:rsidRPr="00236691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使用液體燃料或可燃性液體為熱源之乾燥設備</w:t>
            </w:r>
            <w:r w:rsidR="002B0F55" w:rsidRPr="00236691">
              <w:rPr>
                <w:rFonts w:eastAsia="標楷體" w:hint="eastAsia"/>
                <w:color w:val="000000"/>
                <w:sz w:val="28"/>
              </w:rPr>
              <w:t>，</w:t>
            </w:r>
            <w:r w:rsidRPr="00236691">
              <w:rPr>
                <w:rFonts w:eastAsia="標楷體" w:hint="eastAsia"/>
                <w:color w:val="000000"/>
                <w:sz w:val="28"/>
              </w:rPr>
              <w:t>燃燒室或點火處之換氣設備有無異常。</w:t>
            </w:r>
          </w:p>
          <w:p w:rsidR="00BC2BD1" w:rsidRPr="00236691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窺視孔、出入孔、排氣孔等開口部有無異常。</w:t>
            </w:r>
          </w:p>
          <w:p w:rsidR="00BC2BD1" w:rsidRPr="00236691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內部溫度測定裝置及調整裝置有無異常。</w:t>
            </w:r>
          </w:p>
          <w:p w:rsidR="00BC2BD1" w:rsidRPr="00236691" w:rsidRDefault="00BC2BD1">
            <w:pPr>
              <w:numPr>
                <w:ilvl w:val="0"/>
                <w:numId w:val="9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設置於內部之電氣機械器具或配線有無異常。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局部排氣裝置、空氣清淨裝置及吹吸型換氣裝置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第四十條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pacing w:val="-8"/>
                <w:sz w:val="28"/>
              </w:rPr>
            </w:pPr>
            <w:r w:rsidRPr="00236691">
              <w:rPr>
                <w:rFonts w:eastAsia="標楷體" w:hint="eastAsia"/>
                <w:color w:val="000000"/>
                <w:spacing w:val="-8"/>
                <w:sz w:val="28"/>
              </w:rPr>
              <w:t>氣罩及導管及排氣機之磨損腐蝕凹凸及其他損之狀況及程度。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pacing w:val="-12"/>
                <w:sz w:val="28"/>
              </w:rPr>
            </w:pPr>
            <w:r w:rsidRPr="00236691">
              <w:rPr>
                <w:rFonts w:eastAsia="標楷體" w:hint="eastAsia"/>
                <w:color w:val="000000"/>
                <w:spacing w:val="-12"/>
                <w:sz w:val="28"/>
              </w:rPr>
              <w:t>導管或排氣機之塵埃聚積狀況。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排氣機之注油潤滑狀況。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導管接觸部份之狀況。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連接電動機與排氣機之皮帶</w:t>
            </w:r>
            <w:r w:rsidRPr="00236691">
              <w:rPr>
                <w:rFonts w:eastAsia="標楷體" w:hint="eastAsia"/>
                <w:color w:val="000000"/>
                <w:sz w:val="28"/>
              </w:rPr>
              <w:lastRenderedPageBreak/>
              <w:t>之鬆弛狀況。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吸氣及排氣之能力。</w:t>
            </w:r>
          </w:p>
          <w:p w:rsidR="002B0F55" w:rsidRPr="00236691" w:rsidRDefault="002B0F55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66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設置於排放導管上之採樣設施是否牢固、鏽蝕、損壞、崩塌或其他妨礙作業安全事項。</w:t>
            </w:r>
          </w:p>
          <w:p w:rsidR="00BC2BD1" w:rsidRPr="00236691" w:rsidRDefault="00BC2BD1">
            <w:pPr>
              <w:numPr>
                <w:ilvl w:val="0"/>
                <w:numId w:val="7"/>
              </w:numPr>
              <w:snapToGrid w:val="0"/>
              <w:spacing w:after="60"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其他保持性能</w:t>
            </w:r>
            <w:r w:rsidR="002B0F55" w:rsidRPr="00236691">
              <w:rPr>
                <w:rFonts w:eastAsia="標楷體" w:hint="eastAsia"/>
                <w:color w:val="000000"/>
                <w:sz w:val="28"/>
              </w:rPr>
              <w:t>之</w:t>
            </w:r>
            <w:r w:rsidRPr="00236691">
              <w:rPr>
                <w:rFonts w:eastAsia="標楷體" w:hint="eastAsia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2B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5" w:type="dxa"/>
          </w:tcPr>
          <w:p w:rsidR="00BC2BD1" w:rsidRDefault="00BC2BD1">
            <w:pPr>
              <w:snapToGrid w:val="0"/>
              <w:spacing w:line="240" w:lineRule="atLeast"/>
              <w:ind w:left="57" w:right="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局部排氣裝置內之空氣清淨裝置</w:t>
            </w:r>
          </w:p>
        </w:tc>
        <w:tc>
          <w:tcPr>
            <w:tcW w:w="1281" w:type="dxa"/>
          </w:tcPr>
          <w:p w:rsidR="00BC2BD1" w:rsidRDefault="00BC2BD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定期檢查</w:t>
            </w:r>
          </w:p>
          <w:p w:rsidR="00BC2BD1" w:rsidRDefault="00BC2BD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eastAsia="標楷體" w:hint="eastAsia"/>
                <w:spacing w:val="-10"/>
                <w:sz w:val="22"/>
              </w:rPr>
              <w:t>(</w:t>
            </w:r>
            <w:r>
              <w:rPr>
                <w:rFonts w:eastAsia="標楷體" w:hint="eastAsia"/>
                <w:spacing w:val="-10"/>
                <w:sz w:val="22"/>
              </w:rPr>
              <w:t>第四十一條</w:t>
            </w:r>
            <w:r>
              <w:rPr>
                <w:rFonts w:eastAsia="標楷體" w:hint="eastAsia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236691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構造部份之磨損、腐蝕及其他損壞之狀況及程度。</w:t>
            </w:r>
          </w:p>
          <w:p w:rsidR="00BC2BD1" w:rsidRPr="00236691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pacing w:val="-8"/>
                <w:sz w:val="28"/>
              </w:rPr>
            </w:pPr>
            <w:r w:rsidRPr="00236691">
              <w:rPr>
                <w:rFonts w:eastAsia="標楷體" w:hint="eastAsia"/>
                <w:color w:val="000000"/>
                <w:spacing w:val="-8"/>
                <w:sz w:val="28"/>
              </w:rPr>
              <w:t>除塵裝置內部塵埃堆積之狀況。</w:t>
            </w:r>
          </w:p>
          <w:p w:rsidR="00BC2BD1" w:rsidRPr="00236691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濾布式除塵裝置者、有濾布之破損及安裝部份鬆弛之狀況。</w:t>
            </w:r>
          </w:p>
          <w:p w:rsidR="00BC2BD1" w:rsidRPr="00236691" w:rsidRDefault="00BC2BD1">
            <w:pPr>
              <w:numPr>
                <w:ilvl w:val="0"/>
                <w:numId w:val="8"/>
              </w:numPr>
              <w:snapToGrid w:val="0"/>
              <w:spacing w:after="60" w:line="240" w:lineRule="atLeast"/>
              <w:ind w:right="57"/>
              <w:rPr>
                <w:rFonts w:hint="eastAsia"/>
                <w:color w:val="000000"/>
                <w:sz w:val="28"/>
              </w:rPr>
            </w:pPr>
            <w:r w:rsidRPr="00236691">
              <w:rPr>
                <w:rFonts w:eastAsia="標楷體" w:hint="eastAsia"/>
                <w:color w:val="000000"/>
                <w:sz w:val="28"/>
              </w:rPr>
              <w:t>其他保持性能</w:t>
            </w:r>
            <w:r w:rsidR="00117F95" w:rsidRPr="00236691">
              <w:rPr>
                <w:rFonts w:eastAsia="標楷體" w:hint="eastAsia"/>
                <w:color w:val="000000"/>
                <w:sz w:val="28"/>
              </w:rPr>
              <w:t>之</w:t>
            </w:r>
            <w:r w:rsidRPr="00236691">
              <w:rPr>
                <w:rFonts w:eastAsia="標楷體" w:hint="eastAsia"/>
                <w:color w:val="000000"/>
                <w:sz w:val="28"/>
              </w:rPr>
              <w:t>必要</w:t>
            </w:r>
            <w:r w:rsidR="00117F95" w:rsidRPr="00236691">
              <w:rPr>
                <w:rFonts w:eastAsia="標楷體" w:hint="eastAsia"/>
                <w:color w:val="000000"/>
                <w:sz w:val="28"/>
              </w:rPr>
              <w:t>措施</w:t>
            </w:r>
            <w:r w:rsidRPr="00236691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1066" w:type="dxa"/>
          </w:tcPr>
          <w:p w:rsidR="00BC2BD1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 w:hint="eastAsia"/>
                <w:sz w:val="28"/>
              </w:rPr>
            </w:pPr>
          </w:p>
        </w:tc>
      </w:tr>
    </w:tbl>
    <w:p w:rsidR="00BC2BD1" w:rsidRDefault="00BC2BD1" w:rsidP="00BD361D">
      <w:pPr>
        <w:snapToGrid w:val="0"/>
        <w:spacing w:before="120" w:after="120" w:line="240" w:lineRule="atLeast"/>
        <w:ind w:left="1" w:firstLineChars="4" w:firstLine="11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int="eastAsia"/>
          <w:sz w:val="28"/>
        </w:rPr>
        <w:t>前項未列舉之機械設備，依</w:t>
      </w:r>
      <w:r>
        <w:rPr>
          <w:rFonts w:ascii="標楷體" w:eastAsia="標楷體" w:hAnsi="標楷體" w:hint="eastAsia"/>
          <w:sz w:val="28"/>
          <w:szCs w:val="20"/>
        </w:rPr>
        <w:t>勞工安全衛生組織管理及自動檢查辦法規定實施</w:t>
      </w:r>
      <w:r>
        <w:rPr>
          <w:rFonts w:eastAsia="標楷體" w:hint="eastAsia"/>
          <w:sz w:val="28"/>
        </w:rPr>
        <w:t>安全衛生</w:t>
      </w:r>
      <w:r>
        <w:rPr>
          <w:rFonts w:ascii="標楷體" w:eastAsia="標楷體" w:hAnsi="標楷體" w:hint="eastAsia"/>
          <w:sz w:val="28"/>
          <w:szCs w:val="20"/>
        </w:rPr>
        <w:t>自動檢查。</w:t>
      </w:r>
    </w:p>
    <w:p w:rsidR="00520775" w:rsidRDefault="00BC2BD1">
      <w:pPr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  <w:szCs w:val="20"/>
        </w:rPr>
        <w:t>計畫</w:t>
      </w:r>
      <w:r>
        <w:rPr>
          <w:rFonts w:ascii="標楷體" w:eastAsia="標楷體" w:hint="eastAsia"/>
          <w:sz w:val="28"/>
        </w:rPr>
        <w:t>經環安委員會審議通過後實施，修正時亦同。</w:t>
      </w:r>
    </w:p>
    <w:p w:rsidR="00BC2BD1" w:rsidRDefault="00520775" w:rsidP="00520775">
      <w:pPr>
        <w:snapToGrid w:val="0"/>
        <w:spacing w:before="120" w:after="120" w:line="240" w:lineRule="atLeast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</w:p>
    <w:p w:rsidR="00BC2BD1" w:rsidRDefault="00BC2BD1">
      <w:pPr>
        <w:snapToGrid w:val="0"/>
        <w:spacing w:after="600" w:line="240" w:lineRule="atLeast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附表：</w:t>
      </w:r>
      <w:r>
        <w:rPr>
          <w:rFonts w:eastAsia="標楷體" w:hint="eastAsia"/>
          <w:sz w:val="28"/>
        </w:rPr>
        <w:t>自動檢查作業流程圖</w:t>
      </w:r>
    </w:p>
    <w:p w:rsidR="00894D21" w:rsidRDefault="00894D21">
      <w:pPr>
        <w:snapToGrid w:val="0"/>
        <w:spacing w:after="600" w:line="240" w:lineRule="atLeast"/>
        <w:rPr>
          <w:rFonts w:eastAsia="標楷體" w:hint="eastAsia"/>
          <w:sz w:val="28"/>
        </w:rPr>
      </w:pPr>
      <w:r>
        <w:object w:dxaOrig="10992" w:dyaOrig="10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09.5pt" o:ole="">
            <v:imagedata r:id="rId8" o:title=""/>
          </v:shape>
          <o:OLEObject Type="Embed" ProgID="Visio.Drawing.11" ShapeID="_x0000_i1025" DrawAspect="Content" ObjectID="_1421575472" r:id="rId9"/>
        </w:object>
      </w:r>
    </w:p>
    <w:p w:rsidR="00BC2BD1" w:rsidRDefault="00BC2BD1">
      <w:pPr>
        <w:jc w:val="both"/>
        <w:rPr>
          <w:rFonts w:hint="eastAsia"/>
        </w:rPr>
      </w:pPr>
    </w:p>
    <w:p w:rsidR="00BC2BD1" w:rsidRDefault="00BC2BD1">
      <w:pPr>
        <w:snapToGrid w:val="0"/>
        <w:spacing w:line="240" w:lineRule="atLeast"/>
        <w:rPr>
          <w:rFonts w:ascii="標楷體" w:eastAsia="標楷體" w:hAnsi="標楷體" w:hint="eastAsia"/>
          <w:sz w:val="28"/>
          <w:szCs w:val="20"/>
        </w:rPr>
      </w:pPr>
    </w:p>
    <w:sectPr w:rsidR="00BC2BD1">
      <w:footerReference w:type="even" r:id="rId10"/>
      <w:footerReference w:type="default" r:id="rId11"/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5D" w:rsidRDefault="0056495D">
      <w:r>
        <w:separator/>
      </w:r>
    </w:p>
  </w:endnote>
  <w:endnote w:type="continuationSeparator" w:id="0">
    <w:p w:rsidR="0056495D" w:rsidRDefault="005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1" w:rsidRDefault="00BC2BD1" w:rsidP="00894D2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BD1" w:rsidRDefault="00BC2BD1" w:rsidP="006C52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1" w:rsidRDefault="00BC2BD1" w:rsidP="00894D21">
    <w:pPr>
      <w:pStyle w:val="a7"/>
      <w:framePr w:wrap="around" w:vAnchor="text" w:hAnchor="margin" w:xAlign="center" w:y="1"/>
      <w:rPr>
        <w:rStyle w:val="a8"/>
        <w:rFonts w:ascii="Arial" w:hAnsi="Arial" w:cs="Arial"/>
        <w:i/>
        <w:iCs/>
        <w:sz w:val="24"/>
      </w:rPr>
    </w:pPr>
    <w:r>
      <w:rPr>
        <w:rStyle w:val="a8"/>
        <w:rFonts w:ascii="Arial" w:hAnsi="Arial" w:cs="Arial"/>
        <w:i/>
        <w:iCs/>
        <w:sz w:val="24"/>
      </w:rPr>
      <w:fldChar w:fldCharType="begin"/>
    </w:r>
    <w:r>
      <w:rPr>
        <w:rStyle w:val="a8"/>
        <w:rFonts w:ascii="Arial" w:hAnsi="Arial" w:cs="Arial"/>
        <w:i/>
        <w:iCs/>
        <w:sz w:val="24"/>
      </w:rPr>
      <w:instrText xml:space="preserve">PAGE  </w:instrText>
    </w:r>
    <w:r>
      <w:rPr>
        <w:rStyle w:val="a8"/>
        <w:rFonts w:ascii="Arial" w:hAnsi="Arial" w:cs="Arial"/>
        <w:i/>
        <w:iCs/>
        <w:sz w:val="24"/>
      </w:rPr>
      <w:fldChar w:fldCharType="separate"/>
    </w:r>
    <w:r w:rsidR="0064032B">
      <w:rPr>
        <w:rStyle w:val="a8"/>
        <w:rFonts w:ascii="Arial" w:hAnsi="Arial" w:cs="Arial"/>
        <w:i/>
        <w:iCs/>
        <w:noProof/>
        <w:sz w:val="24"/>
      </w:rPr>
      <w:t>1</w:t>
    </w:r>
    <w:r>
      <w:rPr>
        <w:rStyle w:val="a8"/>
        <w:rFonts w:ascii="Arial" w:hAnsi="Arial" w:cs="Arial"/>
        <w:i/>
        <w:iCs/>
        <w:sz w:val="24"/>
      </w:rPr>
      <w:fldChar w:fldCharType="end"/>
    </w:r>
  </w:p>
  <w:p w:rsidR="00BC2BD1" w:rsidRDefault="00BC2BD1" w:rsidP="006C52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5D" w:rsidRDefault="0056495D">
      <w:r>
        <w:separator/>
      </w:r>
    </w:p>
  </w:footnote>
  <w:footnote w:type="continuationSeparator" w:id="0">
    <w:p w:rsidR="0056495D" w:rsidRDefault="0056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B63"/>
    <w:multiLevelType w:val="hybridMultilevel"/>
    <w:tmpl w:val="A664C400"/>
    <w:lvl w:ilvl="0" w:tplc="DA8A7BE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125D"/>
    <w:multiLevelType w:val="hybridMultilevel"/>
    <w:tmpl w:val="66E028D2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706115"/>
    <w:multiLevelType w:val="hybridMultilevel"/>
    <w:tmpl w:val="748A457C"/>
    <w:lvl w:ilvl="0" w:tplc="69AC5CF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3C00CD"/>
    <w:multiLevelType w:val="hybridMultilevel"/>
    <w:tmpl w:val="B0AC5308"/>
    <w:lvl w:ilvl="0" w:tplc="1BCA98B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71D87"/>
    <w:multiLevelType w:val="hybridMultilevel"/>
    <w:tmpl w:val="E4B45B90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9E0F5A"/>
    <w:multiLevelType w:val="hybridMultilevel"/>
    <w:tmpl w:val="5A829B26"/>
    <w:lvl w:ilvl="0" w:tplc="AD007FD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2B6979"/>
    <w:multiLevelType w:val="hybridMultilevel"/>
    <w:tmpl w:val="1C72C770"/>
    <w:lvl w:ilvl="0" w:tplc="F90E2B0E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Arial" w:eastAsia="標楷體" w:hAnsi="Arial" w:hint="default"/>
        <w:b w:val="0"/>
        <w:i w:val="0"/>
        <w:sz w:val="28"/>
        <w:u w:val="none"/>
      </w:rPr>
    </w:lvl>
    <w:lvl w:ilvl="1" w:tplc="40102C3A">
      <w:start w:val="1"/>
      <w:numFmt w:val="taiwaneseCountingThousand"/>
      <w:lvlText w:val="%2、"/>
      <w:lvlJc w:val="left"/>
      <w:pPr>
        <w:tabs>
          <w:tab w:val="num" w:pos="1191"/>
        </w:tabs>
        <w:ind w:left="1191" w:hanging="794"/>
      </w:pPr>
      <w:rPr>
        <w:rFonts w:ascii="標楷體" w:eastAsia="標楷體" w:hint="eastAsia"/>
        <w:b w:val="0"/>
        <w:i w:val="0"/>
        <w:sz w:val="28"/>
        <w:u w:val="none"/>
      </w:rPr>
    </w:lvl>
    <w:lvl w:ilvl="2" w:tplc="2D50E4E8">
      <w:start w:val="1"/>
      <w:numFmt w:val="taiwaneseCountingThousand"/>
      <w:lvlText w:val="(%3)、"/>
      <w:lvlJc w:val="left"/>
      <w:pPr>
        <w:tabs>
          <w:tab w:val="num" w:pos="1191"/>
        </w:tabs>
        <w:ind w:left="1191" w:hanging="794"/>
      </w:pPr>
      <w:rPr>
        <w:rFonts w:ascii="標楷體" w:eastAsia="標楷體" w:hint="eastAsia"/>
        <w:b w:val="0"/>
        <w:i w:val="0"/>
        <w:sz w:val="24"/>
        <w:u w:val="none"/>
      </w:rPr>
    </w:lvl>
    <w:lvl w:ilvl="3" w:tplc="C4BA85C2">
      <w:start w:val="1"/>
      <w:numFmt w:val="decimal"/>
      <w:lvlText w:val="(%4)、"/>
      <w:lvlJc w:val="left"/>
      <w:pPr>
        <w:tabs>
          <w:tab w:val="num" w:pos="1758"/>
        </w:tabs>
        <w:ind w:left="1758" w:hanging="681"/>
      </w:pPr>
      <w:rPr>
        <w:rFonts w:ascii="Arial" w:eastAsia="標楷體" w:hAnsi="Arial" w:hint="default"/>
        <w:b w:val="0"/>
        <w:i w:val="0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452349"/>
    <w:multiLevelType w:val="hybridMultilevel"/>
    <w:tmpl w:val="CAA008F4"/>
    <w:lvl w:ilvl="0" w:tplc="6448857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6A1D60"/>
    <w:multiLevelType w:val="hybridMultilevel"/>
    <w:tmpl w:val="6B54178E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FA68FC84">
      <w:start w:val="1"/>
      <w:numFmt w:val="taiwaneseCountingThousand"/>
      <w:lvlText w:val="(%2)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8B0433"/>
    <w:multiLevelType w:val="hybridMultilevel"/>
    <w:tmpl w:val="6CC43232"/>
    <w:lvl w:ilvl="0" w:tplc="B9846D4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37426"/>
    <w:multiLevelType w:val="hybridMultilevel"/>
    <w:tmpl w:val="68562376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7379AC"/>
    <w:multiLevelType w:val="hybridMultilevel"/>
    <w:tmpl w:val="4066E458"/>
    <w:lvl w:ilvl="0" w:tplc="35DA49E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5126EA"/>
    <w:multiLevelType w:val="hybridMultilevel"/>
    <w:tmpl w:val="4320A9A4"/>
    <w:lvl w:ilvl="0" w:tplc="69AC5CF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7F7813"/>
    <w:multiLevelType w:val="hybridMultilevel"/>
    <w:tmpl w:val="840A11D2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C96514A"/>
    <w:multiLevelType w:val="hybridMultilevel"/>
    <w:tmpl w:val="847ACD3E"/>
    <w:lvl w:ilvl="0" w:tplc="5024CA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2"/>
    <w:rsid w:val="00007C25"/>
    <w:rsid w:val="00030137"/>
    <w:rsid w:val="0003688F"/>
    <w:rsid w:val="00071ECE"/>
    <w:rsid w:val="00095339"/>
    <w:rsid w:val="000C735E"/>
    <w:rsid w:val="000E4917"/>
    <w:rsid w:val="00117F95"/>
    <w:rsid w:val="00193B67"/>
    <w:rsid w:val="00203EA8"/>
    <w:rsid w:val="00236691"/>
    <w:rsid w:val="002B0F55"/>
    <w:rsid w:val="00355112"/>
    <w:rsid w:val="003B2FD2"/>
    <w:rsid w:val="003F4DBB"/>
    <w:rsid w:val="004765CA"/>
    <w:rsid w:val="004C62E1"/>
    <w:rsid w:val="004E3C8B"/>
    <w:rsid w:val="004E4115"/>
    <w:rsid w:val="00520775"/>
    <w:rsid w:val="0056495D"/>
    <w:rsid w:val="0064032B"/>
    <w:rsid w:val="00682F8A"/>
    <w:rsid w:val="006C526C"/>
    <w:rsid w:val="007F497F"/>
    <w:rsid w:val="007F6C1F"/>
    <w:rsid w:val="00887DB6"/>
    <w:rsid w:val="00894D21"/>
    <w:rsid w:val="00895486"/>
    <w:rsid w:val="00900D3F"/>
    <w:rsid w:val="009C7583"/>
    <w:rsid w:val="009C7B08"/>
    <w:rsid w:val="00A54180"/>
    <w:rsid w:val="00A9353B"/>
    <w:rsid w:val="00A93AFD"/>
    <w:rsid w:val="00AE5849"/>
    <w:rsid w:val="00B25C0C"/>
    <w:rsid w:val="00BC2BD1"/>
    <w:rsid w:val="00BD361D"/>
    <w:rsid w:val="00CC7B50"/>
    <w:rsid w:val="00D16BD2"/>
    <w:rsid w:val="00D72692"/>
    <w:rsid w:val="00D839FD"/>
    <w:rsid w:val="00DB172F"/>
    <w:rsid w:val="00DD6AA6"/>
    <w:rsid w:val="00E577F1"/>
    <w:rsid w:val="00F7199C"/>
    <w:rsid w:val="00FE4FD2"/>
    <w:rsid w:val="00FE6187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 w:line="40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ind w:left="1258" w:hangingChars="484" w:hanging="1258"/>
      <w:jc w:val="both"/>
    </w:pPr>
    <w:rPr>
      <w:rFonts w:ascii="標楷體" w:eastAsia="標楷體" w:hAnsi="標楷體"/>
      <w:sz w:val="26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  <w:sz w:val="26"/>
    </w:rPr>
  </w:style>
  <w:style w:type="paragraph" w:styleId="3">
    <w:name w:val="Body Text Indent 3"/>
    <w:basedOn w:val="a"/>
    <w:pPr>
      <w:ind w:left="1077"/>
      <w:jc w:val="both"/>
    </w:pPr>
    <w:rPr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spacing w:line="720" w:lineRule="exact"/>
    </w:pPr>
    <w:rPr>
      <w:rFonts w:eastAsia="標楷體"/>
      <w:sz w:val="2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Balloon Text"/>
    <w:basedOn w:val="a"/>
    <w:semiHidden/>
    <w:rsid w:val="00203EA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 w:line="40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ind w:left="1258" w:hangingChars="484" w:hanging="1258"/>
      <w:jc w:val="both"/>
    </w:pPr>
    <w:rPr>
      <w:rFonts w:ascii="標楷體" w:eastAsia="標楷體" w:hAnsi="標楷體"/>
      <w:sz w:val="26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  <w:sz w:val="26"/>
    </w:rPr>
  </w:style>
  <w:style w:type="paragraph" w:styleId="3">
    <w:name w:val="Body Text Indent 3"/>
    <w:basedOn w:val="a"/>
    <w:pPr>
      <w:ind w:left="1077"/>
      <w:jc w:val="both"/>
    </w:pPr>
    <w:rPr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spacing w:line="720" w:lineRule="exact"/>
    </w:pPr>
    <w:rPr>
      <w:rFonts w:eastAsia="標楷體"/>
      <w:sz w:val="2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Balloon Text"/>
    <w:basedOn w:val="a"/>
    <w:semiHidden/>
    <w:rsid w:val="00203EA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1681</Characters>
  <Application>Microsoft Office Word</Application>
  <DocSecurity>0</DocSecurity>
  <Lines>14</Lines>
  <Paragraphs>3</Paragraphs>
  <ScaleCrop>false</ScaleCrop>
  <Company>esd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安全衛生自動檢查計畫</dc:title>
  <dc:subject/>
  <dc:creator>hchsieh</dc:creator>
  <cp:keywords/>
  <dc:description/>
  <cp:lastModifiedBy>羅春雨</cp:lastModifiedBy>
  <cp:revision>2</cp:revision>
  <cp:lastPrinted>2009-10-22T08:41:00Z</cp:lastPrinted>
  <dcterms:created xsi:type="dcterms:W3CDTF">2013-02-05T05:18:00Z</dcterms:created>
  <dcterms:modified xsi:type="dcterms:W3CDTF">2013-02-05T05:18:00Z</dcterms:modified>
</cp:coreProperties>
</file>