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88"/>
        <w:tblW w:w="10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180"/>
        <w:gridCol w:w="180"/>
        <w:gridCol w:w="180"/>
        <w:gridCol w:w="180"/>
        <w:gridCol w:w="180"/>
        <w:gridCol w:w="360"/>
      </w:tblGrid>
      <w:tr w:rsidR="009D59AC" w:rsidTr="009D59AC">
        <w:trPr>
          <w:trHeight w:val="593"/>
        </w:trPr>
        <w:tc>
          <w:tcPr>
            <w:tcW w:w="1081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jc w:val="center"/>
              <w:rPr>
                <w:rFonts w:ascii="標楷體" w:hAnsi="標楷體" w:cs="Arial Unicode MS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b/>
                <w:bCs/>
                <w:sz w:val="44"/>
                <w:szCs w:val="44"/>
              </w:rPr>
              <w:t>實驗廢液相容表</w:t>
            </w:r>
          </w:p>
        </w:tc>
      </w:tr>
      <w:tr w:rsidR="009D59AC" w:rsidTr="009D59AC">
        <w:trPr>
          <w:cantSplit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反應類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反應類編號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0"/>
              <w:widowControl w:val="0"/>
              <w:pBdr>
                <w:left w:val="none" w:sz="0" w:space="0" w:color="auto"/>
              </w:pBdr>
              <w:spacing w:before="120" w:beforeAutospacing="0" w:after="120" w:afterAutospacing="0" w:line="29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780" w:type="dxa"/>
            <w:gridSpan w:val="14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ind w:firstLineChars="200" w:firstLine="400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說       明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反應顏色</w:t>
            </w:r>
          </w:p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　結　果</w:t>
            </w:r>
          </w:p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產生熱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ind w:left="55"/>
              <w:rPr>
                <w:rFonts w:ascii="新細明體" w:eastAsia="新細明體" w:hAnsi="新細明體" w:cs="Arial Unicode MS"/>
              </w:rPr>
            </w:pPr>
          </w:p>
        </w:tc>
      </w:tr>
      <w:tr w:rsidR="009D59AC" w:rsidTr="009D59AC">
        <w:trPr>
          <w:cantSplit/>
          <w:trHeight w:val="12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酸、礦物（氧化性）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ind w:left="55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起火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ind w:left="55"/>
              <w:rPr>
                <w:rFonts w:ascii="新細明體" w:eastAsia="新細明體" w:hAnsi="新細明體" w:cs="Arial Unicode MS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產生無毒性和不易燃性氣體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有機酸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ind w:left="55"/>
              <w:rPr>
                <w:rFonts w:ascii="新細明體" w:eastAsia="新細明體" w:hAnsi="新細明體" w:cs="Arial Unicode MS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產生有毒氣體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ind w:left="55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產生易燃氣體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4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醇類、二元醇類和酸類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ind w:left="55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爆炸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ind w:left="55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劇烈聚合作用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5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農藥、石綿等有毒物質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  <w:sz w:val="2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ind w:left="75"/>
              <w:rPr>
                <w:rFonts w:ascii="新細明體" w:eastAsia="新細明體" w:hAnsi="新細明體" w:cs="Arial Unicode MS"/>
                <w:sz w:val="20"/>
              </w:rPr>
            </w:pPr>
            <w:r>
              <w:rPr>
                <w:sz w:val="20"/>
              </w:rPr>
              <w:t>或許有危害但不確定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340" w:type="dxa"/>
            <w:gridSpan w:val="10"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5"/>
              <w:widowControl w:val="0"/>
              <w:spacing w:before="0" w:beforeAutospacing="0" w:after="0" w:afterAutospacing="0" w:line="290" w:lineRule="exact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t xml:space="preserve">　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6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醯胺類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標楷體" w:hAnsi="標楷體" w:hint="eastAsia"/>
                <w:sz w:val="20"/>
                <w:szCs w:val="20"/>
              </w:rPr>
              <w:t>範    例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5"/>
              <w:widowControl w:val="0"/>
              <w:spacing w:before="0" w:beforeAutospacing="0" w:after="0" w:afterAutospacing="0" w:line="290" w:lineRule="exact"/>
              <w:rPr>
                <w:rFonts w:ascii="Times New Roman" w:eastAsia="新細明體" w:hAnsi="Times New Roman" w:cs="Times New Roman"/>
                <w:kern w:val="2"/>
                <w:szCs w:val="24"/>
              </w:rPr>
            </w:pP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胺、脂肪族、芳香族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5"/>
              <w:widowControl w:val="0"/>
              <w:spacing w:before="0" w:beforeAutospacing="0" w:after="0" w:afterAutospacing="0" w:line="290" w:lineRule="exact"/>
              <w:rPr>
                <w:rFonts w:ascii="Times New Roman" w:eastAsia="新細明體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產生熱並起火及有毒</w:t>
            </w:r>
            <w:r>
              <w:t>氣體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9D59AC" w:rsidTr="009D59AC">
        <w:trPr>
          <w:cantSplit/>
          <w:trHeight w:val="21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8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偶氮化合物、重氮化合物和聯胺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  <w:r>
              <w:rPr>
                <w:rFonts w:ascii="新細明體" w:eastAsia="新細明體" w:hAnsi="新細明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  <w:r>
              <w:rPr>
                <w:rFonts w:ascii="新細明體" w:eastAsia="新細明體" w:hAnsi="新細明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  <w:r>
              <w:rPr>
                <w:rFonts w:ascii="新細明體" w:eastAsia="新細明體" w:hAnsi="新細明體" w:hint="eastAsia"/>
              </w:rPr>
              <w:t xml:space="preserve">　</w:t>
            </w:r>
          </w:p>
        </w:tc>
      </w:tr>
      <w:tr w:rsidR="009D59AC" w:rsidTr="009D59AC">
        <w:trPr>
          <w:cantSplit/>
          <w:trHeight w:val="229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5"/>
              <w:widowControl w:val="0"/>
              <w:spacing w:before="0" w:beforeAutospacing="0" w:after="0" w:afterAutospacing="0" w:line="200" w:lineRule="exact"/>
              <w:rPr>
                <w:rFonts w:cs="Times New Roman"/>
                <w:kern w:val="2"/>
                <w:sz w:val="24"/>
              </w:rPr>
            </w:pPr>
            <w:r>
              <w:rPr>
                <w:sz w:val="24"/>
              </w:rPr>
              <w:t xml:space="preserve">　廢液之貯存除應考慮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9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5"/>
              <w:widowControl w:val="0"/>
              <w:spacing w:before="0" w:beforeAutospacing="0" w:after="0" w:afterAutospacing="0" w:line="290" w:lineRule="exact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容器與廢液之相容性外，</w:t>
            </w:r>
          </w:p>
        </w:tc>
      </w:tr>
      <w:tr w:rsidR="009D59AC" w:rsidTr="009D59AC">
        <w:trPr>
          <w:cantSplit/>
          <w:trHeight w:val="2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5"/>
              <w:widowControl w:val="0"/>
              <w:spacing w:before="0" w:beforeAutospacing="0" w:after="0" w:afterAutospacing="0" w:line="29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sz w:val="24"/>
              </w:rPr>
              <w:t>更應注意廢液間之相容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10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 w:hint="eastAsia"/>
                <w:szCs w:val="20"/>
              </w:rPr>
            </w:pPr>
            <w:r>
              <w:rPr>
                <w:rFonts w:ascii="標楷體" w:hAnsi="標楷體" w:cs="Arial Unicode MS" w:hint="eastAsia"/>
                <w:szCs w:val="20"/>
              </w:rPr>
              <w:t>問題，不具相容性之廢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5"/>
              <w:widowControl w:val="0"/>
              <w:spacing w:before="0" w:beforeAutospacing="0" w:after="0" w:afterAutospacing="0" w:line="200" w:lineRule="exact"/>
              <w:rPr>
                <w:rFonts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廢應分別貯存。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氰化物、硫化物及氟化</w:t>
            </w:r>
          </w:p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1980" w:type="dxa"/>
            <w:gridSpan w:val="9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5"/>
              <w:widowControl w:val="0"/>
              <w:spacing w:before="0" w:beforeAutospacing="0" w:after="0" w:afterAutospacing="0" w:line="290" w:lineRule="exact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新細明體" w:eastAsia="新細明體" w:hAnsi="新細明體" w:cs="Arial Unicode MS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20"/>
                <w:szCs w:val="20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註一：易爆物包括溶劑、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12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二磺氨機碳酸鹽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1980" w:type="dxa"/>
            <w:gridSpan w:val="9"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  <w:sz w:val="18"/>
                <w:szCs w:val="18"/>
              </w:rPr>
              <w:t>廢棄爆炸物、石油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ind w:firstLineChars="91" w:firstLine="164"/>
              <w:rPr>
                <w:rFonts w:ascii="標楷體" w:hAnsi="標楷體" w:cs="Arial Unicode MS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 xml:space="preserve"> 廢棄物等。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註二</w:t>
            </w:r>
            <w:r>
              <w:rPr>
                <w:rFonts w:ascii="標楷體" w:hAnsi="標楷體"/>
                <w:sz w:val="18"/>
                <w:szCs w:val="18"/>
              </w:rPr>
              <w:t>: 強氧化劑包括鉻酸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13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醯類、醚類、酮類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 xml:space="preserve">　氯酸、雙氧水、硝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ind w:firstLineChars="100" w:firstLine="180"/>
              <w:rPr>
                <w:rFonts w:ascii="標楷體" w:hAnsi="標楷體" w:cs="Arial Unicode MS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酸、高錳酸。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14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易爆物（註一）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 xml:space="preserve">  </w:t>
            </w: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gridSpan w:val="8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 xml:space="preserve"> </w:t>
            </w:r>
          </w:p>
        </w:tc>
      </w:tr>
      <w:tr w:rsidR="009D59AC" w:rsidTr="009D59AC">
        <w:trPr>
          <w:cantSplit/>
          <w:trHeight w:val="21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15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強氧化劑（註二）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</w:tr>
      <w:tr w:rsidR="009D59AC" w:rsidTr="009D59AC">
        <w:trPr>
          <w:cantSplit/>
          <w:trHeight w:val="2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sz w:val="18"/>
                <w:szCs w:val="18"/>
              </w:rPr>
            </w:pP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16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烴類、芳香族、不飽</w:t>
            </w:r>
          </w:p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和烴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</w:tr>
      <w:tr w:rsidR="009D59AC" w:rsidTr="009D59AC">
        <w:trPr>
          <w:cantSplit/>
          <w:trHeight w:val="20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鹵化有機物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</w:tr>
      <w:tr w:rsidR="009D59AC" w:rsidTr="009D59AC">
        <w:trPr>
          <w:cantSplit/>
          <w:trHeight w:val="2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</w:tr>
      <w:tr w:rsidR="009D59AC" w:rsidTr="009D59AC">
        <w:trPr>
          <w:cantSplit/>
          <w:trHeight w:val="2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18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一般金屬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</w:tr>
      <w:tr w:rsidR="009D59AC" w:rsidTr="009D59AC">
        <w:trPr>
          <w:cantSplit/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pStyle w:val="xl30"/>
              <w:widowControl w:val="0"/>
              <w:pBdr>
                <w:left w:val="none" w:sz="0" w:space="0" w:color="auto"/>
              </w:pBdr>
              <w:spacing w:before="120" w:beforeAutospacing="0" w:after="120" w:afterAutospacing="0" w:line="29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</w:tr>
      <w:tr w:rsidR="009D59AC" w:rsidTr="009D59AC">
        <w:trPr>
          <w:cantSplit/>
          <w:trHeight w:val="27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19</w:t>
            </w:r>
          </w:p>
        </w:tc>
        <w:tc>
          <w:tcPr>
            <w:tcW w:w="24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鋁、鉀、鋰、鎂、鈣</w:t>
            </w:r>
          </w:p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、鈉等易燃金屬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/>
              </w:rPr>
              <w:t>19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</w:tr>
      <w:tr w:rsidR="009D59AC" w:rsidTr="009D59AC">
        <w:trPr>
          <w:cantSplit/>
          <w:trHeight w:val="32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2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9AC" w:rsidRDefault="009D59AC" w:rsidP="009D59AC">
            <w:pPr>
              <w:spacing w:line="29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 xml:space="preserve">　</w:t>
            </w:r>
          </w:p>
        </w:tc>
      </w:tr>
    </w:tbl>
    <w:p w:rsidR="00EB2CEE" w:rsidRPr="00D06DDC" w:rsidRDefault="00C9217A">
      <w:pPr>
        <w:pStyle w:val="xl30"/>
        <w:widowControl w:val="0"/>
        <w:pBdr>
          <w:left w:val="none" w:sz="0" w:space="0" w:color="auto"/>
        </w:pBdr>
        <w:spacing w:before="0" w:beforeAutospacing="0" w:after="0" w:afterAutospacing="0" w:line="290" w:lineRule="exac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default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9718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E" w:rsidRPr="00426E40" w:rsidRDefault="00D06DDC" w:rsidP="00D06DDC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426E4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馬偕醫學院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-9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" stroked="f">
                <v:textbox inset="0,0,0,0">
                  <w:txbxContent>
                    <w:p w:rsidR="00EB2CEE" w:rsidRPr="00426E40" w:rsidRDefault="00D06DDC" w:rsidP="00D06DDC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426E40">
                        <w:rPr>
                          <w:rFonts w:hint="eastAsia"/>
                          <w:sz w:val="48"/>
                          <w:szCs w:val="48"/>
                        </w:rPr>
                        <w:t>馬偕醫學院</w:t>
                      </w:r>
                    </w:p>
                  </w:txbxContent>
                </v:textbox>
              </v:shape>
            </w:pict>
          </mc:Fallback>
        </mc:AlternateContent>
      </w:r>
      <w:r w:rsidR="00EB2CEE">
        <w:rPr>
          <w:rFonts w:ascii="Times New Roman" w:hAnsi="Times New Roman" w:cs="Times New Roman"/>
          <w:kern w:val="2"/>
        </w:rPr>
        <w:t xml:space="preserve">                          </w:t>
      </w:r>
    </w:p>
    <w:sectPr w:rsidR="00EB2CEE" w:rsidRPr="00D06DD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F76"/>
    <w:multiLevelType w:val="hybridMultilevel"/>
    <w:tmpl w:val="946ECDF2"/>
    <w:lvl w:ilvl="0" w:tplc="061EE6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C"/>
    <w:rsid w:val="00426E40"/>
    <w:rsid w:val="009D59AC"/>
    <w:rsid w:val="00C9217A"/>
    <w:rsid w:val="00D06DDC"/>
    <w:rsid w:val="00E840A0"/>
    <w:rsid w:val="00E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4">
    <w:name w:val="xl54"/>
    <w:basedOn w:val="a"/>
    <w:pPr>
      <w:widowControl/>
      <w:pBdr>
        <w:left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7">
    <w:name w:val="xl57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0">
    <w:name w:val="xl6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4">
    <w:name w:val="xl64"/>
    <w:basedOn w:val="a"/>
    <w:pPr>
      <w:widowControl/>
      <w:pBdr>
        <w:lef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5">
    <w:name w:val="xl65"/>
    <w:basedOn w:val="a"/>
    <w:pPr>
      <w:widowControl/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標楷體" w:hAnsi="標楷體" w:cs="Arial Unicode MS" w:hint="eastAsia"/>
      <w:color w:val="FF0000"/>
      <w:kern w:val="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標楷體" w:hAnsi="標楷體" w:cs="Arial Unicode MS" w:hint="eastAsia"/>
      <w:color w:val="FF0000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7">
    <w:name w:val="xl97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8">
    <w:name w:val="xl9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1">
    <w:name w:val="xl101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3">
    <w:name w:val="xl103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04">
    <w:name w:val="xl104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05">
    <w:name w:val="xl10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06">
    <w:name w:val="xl106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1">
    <w:name w:val="xl1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3">
    <w:name w:val="xl11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5">
    <w:name w:val="xl11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124">
    <w:name w:val="xl12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125">
    <w:name w:val="xl125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6">
    <w:name w:val="xl126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27">
    <w:name w:val="xl127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28">
    <w:name w:val="xl128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29">
    <w:name w:val="xl129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0">
    <w:name w:val="xl1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2">
    <w:name w:val="xl13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4">
    <w:name w:val="xl134"/>
    <w:basedOn w:val="a"/>
    <w:pPr>
      <w:widowControl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5">
    <w:name w:val="xl1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6">
    <w:name w:val="xl136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7">
    <w:name w:val="xl1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4">
    <w:name w:val="xl54"/>
    <w:basedOn w:val="a"/>
    <w:pPr>
      <w:widowControl/>
      <w:pBdr>
        <w:left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7">
    <w:name w:val="xl57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0">
    <w:name w:val="xl6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4">
    <w:name w:val="xl64"/>
    <w:basedOn w:val="a"/>
    <w:pPr>
      <w:widowControl/>
      <w:pBdr>
        <w:lef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5">
    <w:name w:val="xl65"/>
    <w:basedOn w:val="a"/>
    <w:pPr>
      <w:widowControl/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標楷體" w:hAnsi="標楷體" w:cs="Arial Unicode MS" w:hint="eastAsia"/>
      <w:color w:val="FF0000"/>
      <w:kern w:val="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標楷體" w:hAnsi="標楷體" w:cs="Arial Unicode MS" w:hint="eastAsia"/>
      <w:color w:val="FF0000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7">
    <w:name w:val="xl97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8">
    <w:name w:val="xl9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1">
    <w:name w:val="xl101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3">
    <w:name w:val="xl103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04">
    <w:name w:val="xl104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05">
    <w:name w:val="xl10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06">
    <w:name w:val="xl106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1">
    <w:name w:val="xl1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3">
    <w:name w:val="xl11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5">
    <w:name w:val="xl11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124">
    <w:name w:val="xl12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</w:rPr>
  </w:style>
  <w:style w:type="paragraph" w:customStyle="1" w:styleId="xl125">
    <w:name w:val="xl125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paragraph" w:customStyle="1" w:styleId="xl126">
    <w:name w:val="xl126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27">
    <w:name w:val="xl127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128">
    <w:name w:val="xl128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29">
    <w:name w:val="xl129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0">
    <w:name w:val="xl1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2">
    <w:name w:val="xl13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4">
    <w:name w:val="xl134"/>
    <w:basedOn w:val="a"/>
    <w:pPr>
      <w:widowControl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5">
    <w:name w:val="xl1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6">
    <w:name w:val="xl136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  <w:style w:type="paragraph" w:customStyle="1" w:styleId="xl137">
    <w:name w:val="xl1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synnex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實驗廢液相容表</dc:title>
  <dc:subject/>
  <dc:creator>ccx01_ccx01</dc:creator>
  <cp:keywords/>
  <dc:description/>
  <cp:lastModifiedBy>羅春雨</cp:lastModifiedBy>
  <cp:revision>2</cp:revision>
  <cp:lastPrinted>2004-11-08T03:01:00Z</cp:lastPrinted>
  <dcterms:created xsi:type="dcterms:W3CDTF">2013-02-05T05:10:00Z</dcterms:created>
  <dcterms:modified xsi:type="dcterms:W3CDTF">2013-02-05T05:10:00Z</dcterms:modified>
</cp:coreProperties>
</file>